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E45" w:rsidRDefault="00D37E45" w:rsidP="001660A9">
      <w:pPr>
        <w:spacing w:after="0" w:line="276" w:lineRule="auto"/>
        <w:jc w:val="center"/>
        <w:rPr>
          <w:b/>
        </w:rPr>
      </w:pPr>
      <w:bookmarkStart w:id="0" w:name="_Hlk41648154"/>
    </w:p>
    <w:p w:rsidR="00D37E45" w:rsidRDefault="00D37E45" w:rsidP="001660A9">
      <w:pPr>
        <w:spacing w:after="0" w:line="276" w:lineRule="auto"/>
        <w:jc w:val="center"/>
        <w:rPr>
          <w:b/>
        </w:rPr>
      </w:pPr>
    </w:p>
    <w:p w:rsidR="00D37E45" w:rsidRDefault="00D37E45" w:rsidP="001660A9">
      <w:pPr>
        <w:spacing w:after="0" w:line="276" w:lineRule="auto"/>
        <w:jc w:val="center"/>
        <w:rPr>
          <w:b/>
        </w:rPr>
      </w:pPr>
    </w:p>
    <w:p w:rsidR="00D37E45" w:rsidRDefault="00D37E45" w:rsidP="001660A9">
      <w:pPr>
        <w:spacing w:after="0" w:line="276" w:lineRule="auto"/>
        <w:jc w:val="center"/>
        <w:rPr>
          <w:b/>
        </w:rPr>
      </w:pPr>
    </w:p>
    <w:p w:rsidR="001660A9" w:rsidRPr="00EA1A06" w:rsidRDefault="001660A9" w:rsidP="001660A9">
      <w:pPr>
        <w:spacing w:after="0" w:line="276"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4950F9" w:rsidRDefault="004950F9" w:rsidP="004950F9">
      <w:pPr>
        <w:spacing w:after="0" w:line="276" w:lineRule="auto"/>
        <w:jc w:val="center"/>
        <w:rPr>
          <w:b/>
        </w:rPr>
      </w:pPr>
      <w:r w:rsidRPr="00EA1A06">
        <w:rPr>
          <w:b/>
        </w:rPr>
        <w:t>ABORTON PILLS: KILLING OR LETTING DIE?</w:t>
      </w: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600A29" w:rsidRDefault="00600A29" w:rsidP="00600A29">
      <w:pPr>
        <w:spacing w:after="0" w:line="480" w:lineRule="auto"/>
        <w:jc w:val="center"/>
        <w:rPr>
          <w:b/>
        </w:rPr>
      </w:pPr>
    </w:p>
    <w:p w:rsidR="00600A29" w:rsidRDefault="00600A29" w:rsidP="00600A29">
      <w:pPr>
        <w:spacing w:after="0" w:line="480" w:lineRule="auto"/>
        <w:jc w:val="center"/>
        <w:rPr>
          <w:b/>
        </w:rPr>
      </w:pPr>
    </w:p>
    <w:p w:rsidR="00D96359" w:rsidRDefault="00D96359" w:rsidP="00E83925">
      <w:pPr>
        <w:spacing w:after="0" w:line="480" w:lineRule="auto"/>
        <w:jc w:val="center"/>
        <w:rPr>
          <w:b/>
        </w:rPr>
      </w:pPr>
      <w:r>
        <w:rPr>
          <w:b/>
        </w:rPr>
        <w:lastRenderedPageBreak/>
        <w:t xml:space="preserve"> Introduction</w:t>
      </w:r>
    </w:p>
    <w:p w:rsidR="00363629" w:rsidRDefault="001660A9" w:rsidP="00E83925">
      <w:pPr>
        <w:autoSpaceDE w:val="0"/>
        <w:autoSpaceDN w:val="0"/>
        <w:adjustRightInd w:val="0"/>
        <w:spacing w:after="0" w:line="480" w:lineRule="auto"/>
        <w:ind w:firstLine="720"/>
        <w:rPr>
          <w:rFonts w:cs="ITCGaramondStd-Lt"/>
          <w:color w:val="000000"/>
        </w:rPr>
      </w:pPr>
      <w:r>
        <w:rPr>
          <w:rFonts w:cs="ITCGaramondStd-Lt"/>
          <w:color w:val="000000"/>
        </w:rPr>
        <w:t>I</w:t>
      </w:r>
      <w:r w:rsidR="00FA45A3">
        <w:rPr>
          <w:rFonts w:cs="ITCGaramondStd-Lt"/>
          <w:color w:val="000000"/>
        </w:rPr>
        <w:t xml:space="preserve">n perhaps the most fertile article ever written about </w:t>
      </w:r>
      <w:r w:rsidR="00424B9D">
        <w:rPr>
          <w:rFonts w:cs="ITCGaramondStd-Lt"/>
          <w:color w:val="000000"/>
        </w:rPr>
        <w:t xml:space="preserve">dealing with </w:t>
      </w:r>
      <w:r w:rsidR="00236E8D">
        <w:rPr>
          <w:rFonts w:cs="ITCGaramondStd-Lt"/>
          <w:color w:val="000000"/>
        </w:rPr>
        <w:t xml:space="preserve">instances </w:t>
      </w:r>
      <w:r w:rsidR="00424B9D">
        <w:rPr>
          <w:rFonts w:cs="ITCGaramondStd-Lt"/>
          <w:color w:val="000000"/>
        </w:rPr>
        <w:t xml:space="preserve">of </w:t>
      </w:r>
      <w:r w:rsidR="00FA45A3">
        <w:rPr>
          <w:rFonts w:cs="ITCGaramondStd-Lt"/>
          <w:color w:val="000000"/>
        </w:rPr>
        <w:t xml:space="preserve">unwanted fertility, </w:t>
      </w:r>
      <w:r w:rsidR="00D96359">
        <w:rPr>
          <w:rFonts w:cs="ITCGaramondStd-Lt"/>
          <w:color w:val="000000"/>
        </w:rPr>
        <w:t>Judith Thomson defend</w:t>
      </w:r>
      <w:r w:rsidR="00180EFA">
        <w:rPr>
          <w:rFonts w:cs="ITCGaramondStd-Lt"/>
          <w:color w:val="000000"/>
        </w:rPr>
        <w:t>s</w:t>
      </w:r>
      <w:r w:rsidR="00D96359">
        <w:rPr>
          <w:rFonts w:cs="ITCGaramondStd-Lt"/>
          <w:color w:val="000000"/>
        </w:rPr>
        <w:t xml:space="preserve"> abortion by </w:t>
      </w:r>
      <w:r w:rsidR="00C56305">
        <w:rPr>
          <w:rFonts w:cs="ITCGaramondStd-Lt"/>
          <w:color w:val="000000"/>
        </w:rPr>
        <w:t xml:space="preserve">creating a thought experiment </w:t>
      </w:r>
      <w:r w:rsidR="0007740F">
        <w:rPr>
          <w:rFonts w:cs="ITCGaramondStd-Lt"/>
          <w:color w:val="000000"/>
        </w:rPr>
        <w:t>in which</w:t>
      </w:r>
      <w:r w:rsidR="00C56305">
        <w:rPr>
          <w:rFonts w:cs="ITCGaramondStd-Lt"/>
          <w:color w:val="000000"/>
        </w:rPr>
        <w:t xml:space="preserve"> an </w:t>
      </w:r>
      <w:r w:rsidR="00D96359">
        <w:rPr>
          <w:rFonts w:cs="ITCGaramondStd-Lt"/>
          <w:color w:val="000000"/>
        </w:rPr>
        <w:t xml:space="preserve">ailing violinist </w:t>
      </w:r>
      <w:r w:rsidR="009233FD">
        <w:rPr>
          <w:rFonts w:cs="ITCGaramondStd-Lt"/>
          <w:color w:val="000000"/>
        </w:rPr>
        <w:t>cannot</w:t>
      </w:r>
      <w:r w:rsidR="00C56305">
        <w:rPr>
          <w:rFonts w:cs="ITCGaramondStd-Lt"/>
          <w:color w:val="000000"/>
        </w:rPr>
        <w:t xml:space="preserve"> survive without being connected to the reader’s kidneys for nine months</w:t>
      </w:r>
      <w:r w:rsidR="00424B9D">
        <w:rPr>
          <w:rFonts w:cs="ITCGaramondStd-Lt"/>
          <w:color w:val="000000"/>
        </w:rPr>
        <w:t xml:space="preserve"> (1971).</w:t>
      </w:r>
      <w:r w:rsidR="00C56305">
        <w:rPr>
          <w:rFonts w:cs="ITCGaramondStd-Lt"/>
          <w:color w:val="000000"/>
        </w:rPr>
        <w:t xml:space="preserve"> Her well</w:t>
      </w:r>
      <w:r w:rsidR="0025522C">
        <w:rPr>
          <w:rFonts w:cs="ITCGaramondStd-Lt"/>
          <w:color w:val="000000"/>
        </w:rPr>
        <w:t>-</w:t>
      </w:r>
      <w:r w:rsidR="00C56305">
        <w:rPr>
          <w:rFonts w:cs="ITCGaramondStd-Lt"/>
          <w:color w:val="000000"/>
        </w:rPr>
        <w:t xml:space="preserve">known conclusion </w:t>
      </w:r>
      <w:r w:rsidR="006D4AC5">
        <w:rPr>
          <w:rFonts w:cs="ITCGaramondStd-Lt"/>
          <w:color w:val="000000"/>
        </w:rPr>
        <w:t>is</w:t>
      </w:r>
      <w:r w:rsidR="00C56305">
        <w:rPr>
          <w:rFonts w:cs="ITCGaramondStd-Lt"/>
          <w:color w:val="000000"/>
        </w:rPr>
        <w:t xml:space="preserve"> that even if </w:t>
      </w:r>
      <w:r w:rsidR="00CC15C8">
        <w:rPr>
          <w:rFonts w:cs="ITCGaramondStd-Lt"/>
          <w:color w:val="000000"/>
        </w:rPr>
        <w:t>f</w:t>
      </w:r>
      <w:r w:rsidR="00C56305">
        <w:rPr>
          <w:rFonts w:cs="ITCGaramondStd-Lt"/>
          <w:color w:val="000000"/>
        </w:rPr>
        <w:t>etus</w:t>
      </w:r>
      <w:r w:rsidR="00CC15C8">
        <w:rPr>
          <w:rFonts w:cs="ITCGaramondStd-Lt"/>
          <w:color w:val="000000"/>
        </w:rPr>
        <w:t>es</w:t>
      </w:r>
      <w:r w:rsidR="00C56305">
        <w:rPr>
          <w:rFonts w:cs="ITCGaramondStd-Lt"/>
          <w:color w:val="000000"/>
        </w:rPr>
        <w:t xml:space="preserve"> </w:t>
      </w:r>
      <w:r w:rsidR="00CC15C8">
        <w:rPr>
          <w:rFonts w:cs="ITCGaramondStd-Lt"/>
          <w:color w:val="000000"/>
        </w:rPr>
        <w:t>are</w:t>
      </w:r>
      <w:r w:rsidR="0025522C">
        <w:rPr>
          <w:rFonts w:cs="ITCGaramondStd-Lt"/>
          <w:color w:val="000000"/>
        </w:rPr>
        <w:t xml:space="preserve"> considered </w:t>
      </w:r>
      <w:r w:rsidR="00936502">
        <w:rPr>
          <w:rFonts w:cs="ITCGaramondStd-Lt"/>
          <w:color w:val="000000"/>
        </w:rPr>
        <w:t xml:space="preserve">to </w:t>
      </w:r>
      <w:r w:rsidR="00DE1EB1">
        <w:rPr>
          <w:rFonts w:cs="ITCGaramondStd-Lt"/>
          <w:color w:val="000000"/>
        </w:rPr>
        <w:t xml:space="preserve">have the </w:t>
      </w:r>
      <w:r w:rsidR="00122121">
        <w:rPr>
          <w:rFonts w:cs="ITCGaramondStd-Lt"/>
          <w:color w:val="000000"/>
        </w:rPr>
        <w:t xml:space="preserve">moral status of </w:t>
      </w:r>
      <w:r w:rsidR="00603D3D">
        <w:rPr>
          <w:rFonts w:cs="ITCGaramondStd-Lt"/>
          <w:color w:val="000000"/>
        </w:rPr>
        <w:t xml:space="preserve">the </w:t>
      </w:r>
      <w:r w:rsidR="00122121">
        <w:rPr>
          <w:rFonts w:cs="ITCGaramondStd-Lt"/>
          <w:color w:val="000000"/>
        </w:rPr>
        <w:t xml:space="preserve">violinist, </w:t>
      </w:r>
      <w:r w:rsidR="00CC15C8">
        <w:rPr>
          <w:rFonts w:cs="ITCGaramondStd-Lt"/>
          <w:color w:val="000000"/>
        </w:rPr>
        <w:t xml:space="preserve">their </w:t>
      </w:r>
      <w:r w:rsidR="00936502">
        <w:rPr>
          <w:rFonts w:cs="ITCGaramondStd-Lt"/>
          <w:color w:val="000000"/>
        </w:rPr>
        <w:t>personhood and right to life</w:t>
      </w:r>
      <w:r w:rsidR="00122121">
        <w:rPr>
          <w:rFonts w:cs="ITCGaramondStd-Lt"/>
          <w:color w:val="000000"/>
        </w:rPr>
        <w:t xml:space="preserve"> </w:t>
      </w:r>
      <w:r w:rsidR="00DB4BBA">
        <w:rPr>
          <w:rFonts w:cs="ITCGaramondStd-Lt"/>
          <w:color w:val="000000"/>
        </w:rPr>
        <w:t>do</w:t>
      </w:r>
      <w:r w:rsidR="00424B9D">
        <w:rPr>
          <w:rFonts w:cs="ITCGaramondStd-Lt"/>
          <w:color w:val="000000"/>
        </w:rPr>
        <w:t xml:space="preserve"> </w:t>
      </w:r>
      <w:r w:rsidR="0025522C">
        <w:rPr>
          <w:rFonts w:cs="ITCGaramondStd-Lt"/>
          <w:color w:val="000000"/>
        </w:rPr>
        <w:t xml:space="preserve">not entitle </w:t>
      </w:r>
      <w:r w:rsidR="00CC15C8">
        <w:rPr>
          <w:rFonts w:cs="ITCGaramondStd-Lt"/>
          <w:color w:val="000000"/>
        </w:rPr>
        <w:t xml:space="preserve">them </w:t>
      </w:r>
      <w:r w:rsidR="0025522C">
        <w:rPr>
          <w:rFonts w:cs="ITCGaramondStd-Lt"/>
          <w:color w:val="000000"/>
        </w:rPr>
        <w:t xml:space="preserve">to </w:t>
      </w:r>
      <w:r w:rsidR="00603D3D">
        <w:rPr>
          <w:rFonts w:cs="ITCGaramondStd-Lt"/>
          <w:color w:val="000000"/>
        </w:rPr>
        <w:t xml:space="preserve">stay </w:t>
      </w:r>
      <w:r w:rsidR="0025522C">
        <w:rPr>
          <w:rFonts w:cs="ITCGaramondStd-Lt"/>
          <w:color w:val="000000"/>
        </w:rPr>
        <w:t xml:space="preserve">alive by </w:t>
      </w:r>
      <w:r w:rsidR="00D96359">
        <w:rPr>
          <w:rFonts w:cs="ITCGaramondStd-Lt"/>
          <w:color w:val="000000"/>
        </w:rPr>
        <w:t>us</w:t>
      </w:r>
      <w:r w:rsidR="00122121">
        <w:rPr>
          <w:rFonts w:cs="ITCGaramondStd-Lt"/>
          <w:color w:val="000000"/>
        </w:rPr>
        <w:t xml:space="preserve">ing </w:t>
      </w:r>
      <w:r w:rsidR="00603D3D">
        <w:rPr>
          <w:rFonts w:cs="ITCGaramondStd-Lt"/>
          <w:color w:val="000000"/>
        </w:rPr>
        <w:t xml:space="preserve">another’s </w:t>
      </w:r>
      <w:r w:rsidR="00122121">
        <w:rPr>
          <w:rFonts w:cs="ITCGaramondStd-Lt"/>
          <w:color w:val="000000"/>
        </w:rPr>
        <w:t>body</w:t>
      </w:r>
      <w:r w:rsidR="00D96359">
        <w:rPr>
          <w:rFonts w:cs="ITCGaramondStd-Lt"/>
          <w:color w:val="000000"/>
        </w:rPr>
        <w:t xml:space="preserve">. </w:t>
      </w:r>
      <w:r w:rsidR="00DE1EB1">
        <w:rPr>
          <w:rFonts w:cs="ITCGaramondStd-Lt"/>
          <w:color w:val="000000"/>
        </w:rPr>
        <w:t xml:space="preserve">Just as you </w:t>
      </w:r>
      <w:r>
        <w:rPr>
          <w:rFonts w:cs="ITCGaramondStd-Lt"/>
          <w:color w:val="000000"/>
        </w:rPr>
        <w:t>are</w:t>
      </w:r>
      <w:r w:rsidR="004C236D">
        <w:rPr>
          <w:rFonts w:cs="ITCGaramondStd-Lt"/>
          <w:color w:val="000000"/>
        </w:rPr>
        <w:t xml:space="preserve"> </w:t>
      </w:r>
      <w:r w:rsidR="00D96359">
        <w:rPr>
          <w:rFonts w:cs="ITCGaramondStd-Lt"/>
          <w:color w:val="000000"/>
        </w:rPr>
        <w:t>a good Samaritan if you provide the violinist with bodily support</w:t>
      </w:r>
      <w:r w:rsidR="00122121">
        <w:rPr>
          <w:rFonts w:cs="ITCGaramondStd-Lt"/>
          <w:color w:val="000000"/>
        </w:rPr>
        <w:t xml:space="preserve">, </w:t>
      </w:r>
      <w:r w:rsidR="00DE1EB1">
        <w:rPr>
          <w:rFonts w:cs="ITCGaramondStd-Lt"/>
          <w:color w:val="000000"/>
        </w:rPr>
        <w:t xml:space="preserve">so </w:t>
      </w:r>
      <w:r w:rsidR="0007740F">
        <w:rPr>
          <w:rFonts w:cs="ITCGaramondStd-Lt"/>
          <w:color w:val="000000"/>
        </w:rPr>
        <w:t xml:space="preserve">is </w:t>
      </w:r>
      <w:r w:rsidR="00122121">
        <w:rPr>
          <w:rFonts w:cs="ITCGaramondStd-Lt"/>
          <w:color w:val="000000"/>
        </w:rPr>
        <w:t>a woman willing to gestate a fetus</w:t>
      </w:r>
      <w:r w:rsidR="00D96359">
        <w:rPr>
          <w:rFonts w:cs="ITCGaramondStd-Lt"/>
          <w:color w:val="000000"/>
        </w:rPr>
        <w:t xml:space="preserve">, </w:t>
      </w:r>
      <w:r w:rsidR="0025522C">
        <w:rPr>
          <w:rFonts w:cs="ITCGaramondStd-Lt"/>
          <w:color w:val="000000"/>
        </w:rPr>
        <w:t xml:space="preserve">but neither </w:t>
      </w:r>
      <w:r w:rsidR="00122121">
        <w:rPr>
          <w:rFonts w:cs="ITCGaramondStd-Lt"/>
          <w:color w:val="000000"/>
        </w:rPr>
        <w:t xml:space="preserve">of you </w:t>
      </w:r>
      <w:r w:rsidR="0007740F">
        <w:rPr>
          <w:rFonts w:cs="ITCGaramondStd-Lt"/>
          <w:color w:val="000000"/>
        </w:rPr>
        <w:t xml:space="preserve">are </w:t>
      </w:r>
      <w:r w:rsidR="00D96359">
        <w:rPr>
          <w:rFonts w:cs="ITCGaramondStd-Lt"/>
          <w:color w:val="000000"/>
        </w:rPr>
        <w:t xml:space="preserve">unjust if </w:t>
      </w:r>
      <w:r w:rsidR="00DE1EB1">
        <w:rPr>
          <w:rFonts w:cs="ITCGaramondStd-Lt"/>
          <w:color w:val="000000"/>
        </w:rPr>
        <w:t>the removal of such support brings about the demise of a dependent innocent</w:t>
      </w:r>
      <w:r w:rsidR="00A672C6">
        <w:rPr>
          <w:rFonts w:cs="ITCGaramondStd-Lt"/>
          <w:color w:val="000000"/>
        </w:rPr>
        <w:t xml:space="preserve">. </w:t>
      </w:r>
      <w:r w:rsidR="00D96359">
        <w:rPr>
          <w:rFonts w:cs="ITCGaramondStd-Lt"/>
          <w:color w:val="000000"/>
        </w:rPr>
        <w:t xml:space="preserve">A typical response of the </w:t>
      </w:r>
      <w:r w:rsidR="00303C99">
        <w:rPr>
          <w:rFonts w:cs="ITCGaramondStd-Lt"/>
          <w:color w:val="000000"/>
        </w:rPr>
        <w:t xml:space="preserve">Christian </w:t>
      </w:r>
      <w:r w:rsidR="0007740F">
        <w:rPr>
          <w:rFonts w:cs="ITCGaramondStd-Lt"/>
          <w:color w:val="000000"/>
        </w:rPr>
        <w:t xml:space="preserve">pro-lifer </w:t>
      </w:r>
      <w:r w:rsidR="00122121">
        <w:rPr>
          <w:rFonts w:cs="ITCGaramondStd-Lt"/>
          <w:color w:val="000000"/>
        </w:rPr>
        <w:t xml:space="preserve">is </w:t>
      </w:r>
      <w:r w:rsidR="00D96359">
        <w:rPr>
          <w:rFonts w:cs="ITCGaramondStd-Lt"/>
          <w:color w:val="000000"/>
        </w:rPr>
        <w:t>to claim</w:t>
      </w:r>
      <w:r w:rsidR="00B83B3F">
        <w:rPr>
          <w:rFonts w:cs="ITCGaramondStd-Lt"/>
          <w:color w:val="000000"/>
        </w:rPr>
        <w:t xml:space="preserve"> </w:t>
      </w:r>
      <w:r w:rsidR="0007740F">
        <w:rPr>
          <w:rFonts w:cs="ITCGaramondStd-Lt"/>
          <w:color w:val="000000"/>
        </w:rPr>
        <w:t xml:space="preserve">that aborting the embryo </w:t>
      </w:r>
      <w:r w:rsidR="00936502">
        <w:rPr>
          <w:rFonts w:cs="ITCGaramondStd-Lt"/>
          <w:color w:val="000000"/>
        </w:rPr>
        <w:t xml:space="preserve">is a </w:t>
      </w:r>
      <w:r w:rsidR="00936502" w:rsidRPr="00936502">
        <w:rPr>
          <w:rFonts w:cs="ITCGaramondStd-Lt"/>
          <w:i/>
          <w:color w:val="000000"/>
        </w:rPr>
        <w:t>killing</w:t>
      </w:r>
      <w:r w:rsidR="00936502">
        <w:rPr>
          <w:rFonts w:cs="ITCGaramondStd-Lt"/>
          <w:color w:val="000000"/>
        </w:rPr>
        <w:t xml:space="preserve"> </w:t>
      </w:r>
      <w:r w:rsidR="00D96359">
        <w:rPr>
          <w:rFonts w:cs="ITCGaramondStd-Lt"/>
          <w:color w:val="000000"/>
        </w:rPr>
        <w:t xml:space="preserve">while </w:t>
      </w:r>
      <w:r w:rsidR="00936502">
        <w:rPr>
          <w:rFonts w:cs="ITCGaramondStd-Lt"/>
          <w:color w:val="000000"/>
        </w:rPr>
        <w:t>disconnectin</w:t>
      </w:r>
      <w:r w:rsidR="0007740F">
        <w:rPr>
          <w:rFonts w:cs="ITCGaramondStd-Lt"/>
          <w:color w:val="000000"/>
        </w:rPr>
        <w:t>g</w:t>
      </w:r>
      <w:r w:rsidR="00936502">
        <w:rPr>
          <w:rFonts w:cs="ITCGaramondStd-Lt"/>
          <w:color w:val="000000"/>
        </w:rPr>
        <w:t xml:space="preserve"> the violinist is merely a case</w:t>
      </w:r>
      <w:r w:rsidR="00C9076C">
        <w:rPr>
          <w:rFonts w:cs="ITCGaramondStd-Lt"/>
          <w:color w:val="000000"/>
        </w:rPr>
        <w:t xml:space="preserve"> of</w:t>
      </w:r>
      <w:r w:rsidR="00936502">
        <w:rPr>
          <w:rFonts w:cs="ITCGaramondStd-Lt"/>
          <w:color w:val="000000"/>
        </w:rPr>
        <w:t xml:space="preserve"> </w:t>
      </w:r>
      <w:r w:rsidR="00936502" w:rsidRPr="00936502">
        <w:rPr>
          <w:rFonts w:cs="ITCGaramondStd-Lt"/>
          <w:i/>
          <w:color w:val="000000"/>
        </w:rPr>
        <w:t>letting die</w:t>
      </w:r>
      <w:r w:rsidR="00122121">
        <w:rPr>
          <w:rFonts w:cs="ITCGaramondStd-Lt"/>
          <w:color w:val="000000"/>
        </w:rPr>
        <w:t xml:space="preserve">. Some abortion proponents </w:t>
      </w:r>
      <w:r w:rsidR="00D96359">
        <w:rPr>
          <w:rFonts w:cs="ITCGaramondStd-Lt"/>
          <w:color w:val="000000"/>
        </w:rPr>
        <w:t xml:space="preserve">reply that </w:t>
      </w:r>
      <w:r w:rsidR="00BE75E6">
        <w:rPr>
          <w:rFonts w:cs="ITCGaramondStd-Lt"/>
          <w:color w:val="000000"/>
        </w:rPr>
        <w:t xml:space="preserve">if this is </w:t>
      </w:r>
      <w:r w:rsidR="00D96359">
        <w:rPr>
          <w:rFonts w:cs="ITCGaramondStd-Lt"/>
          <w:color w:val="000000"/>
        </w:rPr>
        <w:t xml:space="preserve">a morally relevant distinction </w:t>
      </w:r>
      <w:r w:rsidR="00BE75E6">
        <w:rPr>
          <w:rFonts w:cs="ITCGaramondStd-Lt"/>
          <w:color w:val="000000"/>
        </w:rPr>
        <w:t xml:space="preserve">then it </w:t>
      </w:r>
      <w:r w:rsidR="00D96359">
        <w:rPr>
          <w:rFonts w:cs="ITCGaramondStd-Lt"/>
          <w:color w:val="000000"/>
        </w:rPr>
        <w:t>would allow new technologies like abortions pills to be classified as instances of letting die</w:t>
      </w:r>
      <w:r w:rsidR="00DE1EB1">
        <w:rPr>
          <w:rFonts w:cs="ITCGaramondStd-Lt"/>
          <w:color w:val="000000"/>
        </w:rPr>
        <w:t xml:space="preserve"> as they detach embryo</w:t>
      </w:r>
      <w:r w:rsidR="00C9076C">
        <w:rPr>
          <w:rFonts w:cs="ITCGaramondStd-Lt"/>
          <w:color w:val="000000"/>
        </w:rPr>
        <w:t>s</w:t>
      </w:r>
      <w:r w:rsidR="00DE1EB1">
        <w:rPr>
          <w:rFonts w:cs="ITCGaramondStd-Lt"/>
          <w:color w:val="000000"/>
        </w:rPr>
        <w:t xml:space="preserve"> from the uterine wall</w:t>
      </w:r>
      <w:r w:rsidR="008A06FF">
        <w:rPr>
          <w:rFonts w:cs="ITCGaramondStd-Lt"/>
          <w:color w:val="000000"/>
        </w:rPr>
        <w:t xml:space="preserve"> (Boonin, 2019; McMahan 1993, 2002)</w:t>
      </w:r>
      <w:r w:rsidR="00BE75E6">
        <w:rPr>
          <w:rFonts w:cs="ITCGaramondStd-Lt"/>
          <w:color w:val="000000"/>
        </w:rPr>
        <w:t xml:space="preserve">. </w:t>
      </w:r>
      <w:r w:rsidR="001E5812">
        <w:rPr>
          <w:rFonts w:cs="ITCGaramondStd-Lt"/>
          <w:color w:val="000000"/>
        </w:rPr>
        <w:t>If</w:t>
      </w:r>
      <w:r w:rsidR="00580DA2">
        <w:rPr>
          <w:rFonts w:cs="ITCGaramondStd-Lt"/>
          <w:color w:val="000000"/>
        </w:rPr>
        <w:t xml:space="preserve"> it is permissible to let the violinist die, then it will be permissible to let the embryo die</w:t>
      </w:r>
      <w:r w:rsidR="001E5812" w:rsidRPr="001E5812">
        <w:rPr>
          <w:rFonts w:cs="ITCGaramondStd-Lt"/>
          <w:color w:val="000000"/>
        </w:rPr>
        <w:t xml:space="preserve"> </w:t>
      </w:r>
      <w:r w:rsidR="001E5812" w:rsidRPr="00717879">
        <w:rPr>
          <w:rFonts w:cs="ITCGaramondStd-Lt"/>
          <w:color w:val="000000"/>
        </w:rPr>
        <w:t>(</w:t>
      </w:r>
      <w:r w:rsidR="001E5812">
        <w:rPr>
          <w:rFonts w:cs="ITCGaramondStd-Lt"/>
          <w:color w:val="000000"/>
        </w:rPr>
        <w:t xml:space="preserve">Boonin: </w:t>
      </w:r>
      <w:r w:rsidR="001E5812" w:rsidRPr="00717879">
        <w:rPr>
          <w:rFonts w:cs="ITCGaramondStd-Lt"/>
          <w:color w:val="000000"/>
        </w:rPr>
        <w:t>109-11</w:t>
      </w:r>
      <w:r w:rsidR="001E5812">
        <w:rPr>
          <w:rFonts w:cs="ITCGaramondStd-Lt"/>
          <w:color w:val="000000"/>
        </w:rPr>
        <w:t xml:space="preserve">0). </w:t>
      </w:r>
    </w:p>
    <w:p w:rsidR="00D96359" w:rsidRDefault="00D96359" w:rsidP="00E83925">
      <w:pPr>
        <w:autoSpaceDE w:val="0"/>
        <w:autoSpaceDN w:val="0"/>
        <w:adjustRightInd w:val="0"/>
        <w:spacing w:after="0" w:line="480" w:lineRule="auto"/>
        <w:ind w:firstLine="720"/>
        <w:rPr>
          <w:rFonts w:cs="ITCGaramondStd-Lt"/>
          <w:color w:val="000000"/>
        </w:rPr>
      </w:pPr>
      <w:r>
        <w:rPr>
          <w:rFonts w:cs="ITCGaramondStd-Lt"/>
          <w:color w:val="000000"/>
        </w:rPr>
        <w:t>How should pro-lifer</w:t>
      </w:r>
      <w:r w:rsidR="00DE1EB1">
        <w:rPr>
          <w:rFonts w:cs="ITCGaramondStd-Lt"/>
          <w:color w:val="000000"/>
        </w:rPr>
        <w:t>s</w:t>
      </w:r>
      <w:r>
        <w:rPr>
          <w:rFonts w:cs="ITCGaramondStd-Lt"/>
          <w:color w:val="000000"/>
        </w:rPr>
        <w:t xml:space="preserve"> respond? Some might bite the bullet and claim that one must support the violinist</w:t>
      </w:r>
      <w:r w:rsidR="00CD3B02">
        <w:rPr>
          <w:rFonts w:cs="ITCGaramondStd-Lt"/>
          <w:color w:val="000000"/>
        </w:rPr>
        <w:t xml:space="preserve">. They might do </w:t>
      </w:r>
      <w:r w:rsidR="00214B51">
        <w:rPr>
          <w:rFonts w:cs="ITCGaramondStd-Lt"/>
          <w:color w:val="000000"/>
        </w:rPr>
        <w:t xml:space="preserve">so </w:t>
      </w:r>
      <w:r w:rsidR="00363629">
        <w:rPr>
          <w:rFonts w:cs="ITCGaramondStd-Lt"/>
          <w:color w:val="000000"/>
        </w:rPr>
        <w:t xml:space="preserve">on the grounds that both scenarios are unjust instances of letting someone die. Or they might </w:t>
      </w:r>
      <w:r w:rsidR="00227311">
        <w:rPr>
          <w:rFonts w:cs="ITCGaramondStd-Lt"/>
          <w:color w:val="000000"/>
        </w:rPr>
        <w:t xml:space="preserve">advocate the position </w:t>
      </w:r>
      <w:r w:rsidR="00363629">
        <w:rPr>
          <w:rFonts w:cs="ITCGaramondStd-Lt"/>
          <w:color w:val="000000"/>
        </w:rPr>
        <w:t>on the basis that abortion and the disconnection of the embryo are both killings, restricting cases of letting die to omissions. Alternatively, a</w:t>
      </w:r>
      <w:r w:rsidR="00227311">
        <w:rPr>
          <w:rFonts w:cs="ITCGaramondStd-Lt"/>
          <w:color w:val="000000"/>
        </w:rPr>
        <w:t xml:space="preserve">bortion opponents </w:t>
      </w:r>
      <w:r>
        <w:rPr>
          <w:rFonts w:cs="ITCGaramondStd-Lt"/>
          <w:color w:val="000000"/>
        </w:rPr>
        <w:t xml:space="preserve">might respond that it is the </w:t>
      </w:r>
      <w:r w:rsidRPr="009A4CAD">
        <w:rPr>
          <w:rFonts w:cs="ITCGaramondStd-Lt"/>
          <w:i/>
          <w:color w:val="000000"/>
        </w:rPr>
        <w:t>immorality</w:t>
      </w:r>
      <w:r>
        <w:rPr>
          <w:rFonts w:cs="ITCGaramondStd-Lt"/>
          <w:color w:val="000000"/>
        </w:rPr>
        <w:t xml:space="preserve"> of the </w:t>
      </w:r>
      <w:r w:rsidR="00DE1EB1">
        <w:rPr>
          <w:rFonts w:cs="ITCGaramondStd-Lt"/>
          <w:color w:val="000000"/>
        </w:rPr>
        <w:t>removal</w:t>
      </w:r>
      <w:r>
        <w:rPr>
          <w:rFonts w:cs="ITCGaramondStd-Lt"/>
          <w:color w:val="000000"/>
        </w:rPr>
        <w:t xml:space="preserve"> of aid which </w:t>
      </w:r>
      <w:r w:rsidR="00936502">
        <w:rPr>
          <w:rFonts w:cs="ITCGaramondStd-Lt"/>
          <w:color w:val="000000"/>
        </w:rPr>
        <w:t xml:space="preserve">renders certain </w:t>
      </w:r>
      <w:r>
        <w:rPr>
          <w:rFonts w:cs="ITCGaramondStd-Lt"/>
          <w:color w:val="000000"/>
        </w:rPr>
        <w:t xml:space="preserve">withdrawals </w:t>
      </w:r>
      <w:r w:rsidR="00936502">
        <w:rPr>
          <w:rFonts w:cs="ITCGaramondStd-Lt"/>
          <w:color w:val="000000"/>
        </w:rPr>
        <w:t xml:space="preserve">as </w:t>
      </w:r>
      <w:r>
        <w:rPr>
          <w:rFonts w:cs="ITCGaramondStd-Lt"/>
          <w:color w:val="000000"/>
        </w:rPr>
        <w:t>killing</w:t>
      </w:r>
      <w:r w:rsidR="0019482C">
        <w:rPr>
          <w:rFonts w:cs="ITCGaramondStd-Lt"/>
          <w:color w:val="000000"/>
        </w:rPr>
        <w:t>s</w:t>
      </w:r>
      <w:r>
        <w:rPr>
          <w:rFonts w:cs="ITCGaramondStd-Lt"/>
          <w:color w:val="000000"/>
        </w:rPr>
        <w:t xml:space="preserve"> rather than case</w:t>
      </w:r>
      <w:r w:rsidR="00936502">
        <w:rPr>
          <w:rFonts w:cs="ITCGaramondStd-Lt"/>
          <w:color w:val="000000"/>
        </w:rPr>
        <w:t>s</w:t>
      </w:r>
      <w:r>
        <w:rPr>
          <w:rFonts w:cs="ITCGaramondStd-Lt"/>
          <w:color w:val="000000"/>
        </w:rPr>
        <w:t xml:space="preserve"> of </w:t>
      </w:r>
      <w:r w:rsidR="00936502">
        <w:rPr>
          <w:rFonts w:cs="ITCGaramondStd-Lt"/>
          <w:color w:val="000000"/>
        </w:rPr>
        <w:t>allowing death</w:t>
      </w:r>
      <w:r>
        <w:rPr>
          <w:rFonts w:cs="ITCGaramondStd-Lt"/>
          <w:color w:val="000000"/>
        </w:rPr>
        <w:t xml:space="preserve">. </w:t>
      </w:r>
      <w:r w:rsidR="00F442F2">
        <w:rPr>
          <w:rFonts w:cs="ITCGaramondStd-Lt"/>
          <w:color w:val="000000"/>
        </w:rPr>
        <w:t>For instance, it might be claimed that t</w:t>
      </w:r>
      <w:r>
        <w:rPr>
          <w:rFonts w:cs="ITCGaramondStd-Lt"/>
          <w:color w:val="000000"/>
        </w:rPr>
        <w:t>he</w:t>
      </w:r>
      <w:r w:rsidR="00936502">
        <w:rPr>
          <w:rFonts w:cs="ITCGaramondStd-Lt"/>
          <w:color w:val="000000"/>
        </w:rPr>
        <w:t xml:space="preserve"> pregnant</w:t>
      </w:r>
      <w:r>
        <w:rPr>
          <w:rFonts w:cs="ITCGaramondStd-Lt"/>
          <w:color w:val="000000"/>
        </w:rPr>
        <w:t xml:space="preserve"> mother </w:t>
      </w:r>
      <w:r w:rsidR="00A672C6">
        <w:rPr>
          <w:rFonts w:cs="ITCGaramondStd-Lt"/>
          <w:color w:val="000000"/>
        </w:rPr>
        <w:t xml:space="preserve">has </w:t>
      </w:r>
      <w:r>
        <w:rPr>
          <w:rFonts w:cs="ITCGaramondStd-Lt"/>
          <w:color w:val="000000"/>
        </w:rPr>
        <w:t xml:space="preserve">a </w:t>
      </w:r>
      <w:r w:rsidRPr="00D96359">
        <w:rPr>
          <w:rFonts w:cs="ITCGaramondStd-Lt"/>
          <w:i/>
          <w:color w:val="000000"/>
        </w:rPr>
        <w:t>special obligation</w:t>
      </w:r>
      <w:r>
        <w:rPr>
          <w:rFonts w:cs="ITCGaramondStd-Lt"/>
          <w:color w:val="000000"/>
        </w:rPr>
        <w:t xml:space="preserve"> to her biological child that the reader doesn’t have to a stranger like the violinist. Perhaps </w:t>
      </w:r>
      <w:r w:rsidR="00603D3D">
        <w:rPr>
          <w:rFonts w:cs="ITCGaramondStd-Lt"/>
          <w:color w:val="000000"/>
        </w:rPr>
        <w:t xml:space="preserve">some Christian pro-lifers </w:t>
      </w:r>
      <w:r>
        <w:rPr>
          <w:rFonts w:cs="ITCGaramondStd-Lt"/>
          <w:color w:val="000000"/>
        </w:rPr>
        <w:t xml:space="preserve">will suggest that extractive abortions are killings if the </w:t>
      </w:r>
      <w:r w:rsidRPr="009A4CAD">
        <w:rPr>
          <w:rFonts w:cs="ITCGaramondStd-Lt"/>
          <w:i/>
          <w:color w:val="000000"/>
        </w:rPr>
        <w:t>intention</w:t>
      </w:r>
      <w:r>
        <w:rPr>
          <w:rFonts w:cs="ITCGaramondStd-Lt"/>
          <w:color w:val="000000"/>
        </w:rPr>
        <w:t xml:space="preserve"> of the withdrawal is to bring about the death of the fetus and not just bodily </w:t>
      </w:r>
      <w:r>
        <w:rPr>
          <w:rFonts w:cs="ITCGaramondStd-Lt"/>
          <w:color w:val="000000"/>
        </w:rPr>
        <w:lastRenderedPageBreak/>
        <w:t>exit</w:t>
      </w:r>
      <w:r w:rsidR="000E5F77">
        <w:rPr>
          <w:rFonts w:cs="ITCGaramondStd-Lt"/>
          <w:color w:val="000000"/>
        </w:rPr>
        <w:t xml:space="preserve"> (Bishop)</w:t>
      </w:r>
      <w:r>
        <w:rPr>
          <w:rFonts w:cs="ITCGaramondStd-Lt"/>
          <w:color w:val="000000"/>
        </w:rPr>
        <w:t>.</w:t>
      </w:r>
      <w:r>
        <w:rPr>
          <w:rStyle w:val="FootnoteReference"/>
          <w:rFonts w:cs="ITCGaramondStd-Lt"/>
          <w:color w:val="000000"/>
        </w:rPr>
        <w:footnoteReference w:id="1"/>
      </w:r>
      <w:r>
        <w:rPr>
          <w:rFonts w:cs="ITCGaramondStd-Lt"/>
          <w:color w:val="000000"/>
        </w:rPr>
        <w:t xml:space="preserve"> It might </w:t>
      </w:r>
      <w:r w:rsidR="00603D3D">
        <w:rPr>
          <w:rFonts w:cs="ITCGaramondStd-Lt"/>
          <w:color w:val="000000"/>
        </w:rPr>
        <w:t xml:space="preserve">also </w:t>
      </w:r>
      <w:r>
        <w:rPr>
          <w:rFonts w:cs="ITCGaramondStd-Lt"/>
          <w:color w:val="000000"/>
        </w:rPr>
        <w:t xml:space="preserve">be claimed that the violinist </w:t>
      </w:r>
      <w:r w:rsidR="00424B9D">
        <w:rPr>
          <w:rFonts w:cs="ITCGaramondStd-Lt"/>
          <w:color w:val="000000"/>
        </w:rPr>
        <w:t>is</w:t>
      </w:r>
      <w:r>
        <w:rPr>
          <w:rFonts w:cs="ITCGaramondStd-Lt"/>
          <w:color w:val="000000"/>
        </w:rPr>
        <w:t xml:space="preserve"> unhealthy, the </w:t>
      </w:r>
      <w:r w:rsidR="00936502">
        <w:rPr>
          <w:rFonts w:cs="ITCGaramondStd-Lt"/>
          <w:color w:val="000000"/>
        </w:rPr>
        <w:t xml:space="preserve">dependent </w:t>
      </w:r>
      <w:r>
        <w:rPr>
          <w:rFonts w:cs="ITCGaramondStd-Lt"/>
          <w:color w:val="000000"/>
        </w:rPr>
        <w:t xml:space="preserve">fetus </w:t>
      </w:r>
      <w:r w:rsidR="00424B9D">
        <w:rPr>
          <w:rFonts w:cs="ITCGaramondStd-Lt"/>
          <w:color w:val="000000"/>
        </w:rPr>
        <w:t>is</w:t>
      </w:r>
      <w:r>
        <w:rPr>
          <w:rFonts w:cs="ITCGaramondStd-Lt"/>
          <w:color w:val="000000"/>
        </w:rPr>
        <w:t xml:space="preserve"> health</w:t>
      </w:r>
      <w:r w:rsidR="00B81E38">
        <w:rPr>
          <w:rFonts w:cs="ITCGaramondStd-Lt"/>
          <w:color w:val="000000"/>
        </w:rPr>
        <w:t>y</w:t>
      </w:r>
      <w:r>
        <w:rPr>
          <w:rFonts w:cs="ITCGaramondStd-Lt"/>
          <w:color w:val="000000"/>
        </w:rPr>
        <w:t xml:space="preserve">, and withdrawals of support that </w:t>
      </w:r>
      <w:r w:rsidRPr="00D96359">
        <w:rPr>
          <w:rFonts w:cs="ITCGaramondStd-Lt"/>
          <w:i/>
          <w:color w:val="000000"/>
        </w:rPr>
        <w:t>create fatal pathologies</w:t>
      </w:r>
      <w:r>
        <w:rPr>
          <w:rFonts w:cs="ITCGaramondStd-Lt"/>
          <w:color w:val="000000"/>
        </w:rPr>
        <w:t xml:space="preserve"> are killings</w:t>
      </w:r>
      <w:r w:rsidR="00603D3D">
        <w:rPr>
          <w:rFonts w:cs="ITCGaramondStd-Lt"/>
          <w:color w:val="000000"/>
        </w:rPr>
        <w:t>, whereas</w:t>
      </w:r>
      <w:r>
        <w:rPr>
          <w:rFonts w:cs="ITCGaramondStd-Lt"/>
          <w:color w:val="000000"/>
        </w:rPr>
        <w:t xml:space="preserve"> withdrawals that merely </w:t>
      </w:r>
      <w:r w:rsidRPr="00D96359">
        <w:rPr>
          <w:rFonts w:cs="ITCGaramondStd-Lt"/>
          <w:color w:val="000000"/>
        </w:rPr>
        <w:t>allow</w:t>
      </w:r>
      <w:r>
        <w:rPr>
          <w:rFonts w:cs="ITCGaramondStd-Lt"/>
          <w:color w:val="000000"/>
        </w:rPr>
        <w:t xml:space="preserve"> unhealthy </w:t>
      </w:r>
      <w:r w:rsidR="00603D3D">
        <w:rPr>
          <w:rFonts w:cs="ITCGaramondStd-Lt"/>
          <w:color w:val="000000"/>
        </w:rPr>
        <w:t xml:space="preserve">processes </w:t>
      </w:r>
      <w:r>
        <w:rPr>
          <w:rFonts w:cs="ITCGaramondStd-Lt"/>
          <w:color w:val="000000"/>
        </w:rPr>
        <w:t>to progress are</w:t>
      </w:r>
      <w:r w:rsidR="00603D3D">
        <w:rPr>
          <w:rFonts w:cs="ITCGaramondStd-Lt"/>
          <w:color w:val="000000"/>
        </w:rPr>
        <w:t xml:space="preserve"> instances of letting someone die</w:t>
      </w:r>
      <w:r>
        <w:rPr>
          <w:rFonts w:cs="ITCGaramondStd-Lt"/>
          <w:color w:val="000000"/>
        </w:rPr>
        <w:t xml:space="preserve">. </w:t>
      </w:r>
    </w:p>
    <w:p w:rsidR="00D96359" w:rsidRDefault="00D96359" w:rsidP="00E83925">
      <w:pPr>
        <w:autoSpaceDE w:val="0"/>
        <w:autoSpaceDN w:val="0"/>
        <w:adjustRightInd w:val="0"/>
        <w:spacing w:after="0" w:line="480" w:lineRule="auto"/>
        <w:ind w:firstLine="720"/>
        <w:rPr>
          <w:rFonts w:cs="ITCGaramondStd-Lt"/>
          <w:color w:val="000000"/>
        </w:rPr>
      </w:pPr>
      <w:r>
        <w:rPr>
          <w:rFonts w:cs="ITCGaramondStd-Lt"/>
          <w:color w:val="000000"/>
        </w:rPr>
        <w:t>I don’t think any of these approaches to d</w:t>
      </w:r>
      <w:r w:rsidR="00DE1EB1">
        <w:rPr>
          <w:rFonts w:cs="ITCGaramondStd-Lt"/>
          <w:color w:val="000000"/>
        </w:rPr>
        <w:t xml:space="preserve">istinguish </w:t>
      </w:r>
      <w:r>
        <w:rPr>
          <w:rFonts w:cs="ITCGaramondStd-Lt"/>
          <w:color w:val="000000"/>
        </w:rPr>
        <w:t xml:space="preserve">killing </w:t>
      </w:r>
      <w:r w:rsidR="00DE1EB1">
        <w:rPr>
          <w:rFonts w:cs="ITCGaramondStd-Lt"/>
          <w:color w:val="000000"/>
        </w:rPr>
        <w:t xml:space="preserve">from </w:t>
      </w:r>
      <w:r>
        <w:rPr>
          <w:rFonts w:cs="ITCGaramondStd-Lt"/>
          <w:color w:val="000000"/>
        </w:rPr>
        <w:t>letting die are promising</w:t>
      </w:r>
      <w:bookmarkStart w:id="1" w:name="_Hlk42797471"/>
      <w:r>
        <w:rPr>
          <w:rFonts w:cs="ITCGaramondStd-Lt"/>
          <w:color w:val="000000"/>
        </w:rPr>
        <w:t xml:space="preserve">. I will argue that letting die and killing are not to be defined </w:t>
      </w:r>
      <w:r w:rsidR="00DE1EB1">
        <w:rPr>
          <w:rFonts w:cs="ITCGaramondStd-Lt"/>
          <w:color w:val="000000"/>
        </w:rPr>
        <w:t xml:space="preserve">or </w:t>
      </w:r>
      <w:r w:rsidR="00EC4E41">
        <w:rPr>
          <w:rFonts w:cs="ITCGaramondStd-Lt"/>
          <w:color w:val="000000"/>
        </w:rPr>
        <w:t xml:space="preserve">characterized </w:t>
      </w:r>
      <w:r>
        <w:rPr>
          <w:rFonts w:cs="ITCGaramondStd-Lt"/>
          <w:color w:val="000000"/>
        </w:rPr>
        <w:t>in a way that makes a reference to differences between acts and omissions, moral and immoral</w:t>
      </w:r>
      <w:r w:rsidR="00B81E38">
        <w:rPr>
          <w:rFonts w:cs="ITCGaramondStd-Lt"/>
          <w:color w:val="000000"/>
        </w:rPr>
        <w:t xml:space="preserve"> motives</w:t>
      </w:r>
      <w:r>
        <w:rPr>
          <w:rFonts w:cs="ITCGaramondStd-Lt"/>
          <w:color w:val="000000"/>
        </w:rPr>
        <w:t xml:space="preserve">, </w:t>
      </w:r>
      <w:r w:rsidR="00B81E38">
        <w:rPr>
          <w:rFonts w:cs="ITCGaramondStd-Lt"/>
          <w:color w:val="000000"/>
        </w:rPr>
        <w:t>intentional or unintentional deaths</w:t>
      </w:r>
      <w:r>
        <w:rPr>
          <w:rFonts w:cs="ITCGaramondStd-Lt"/>
          <w:color w:val="000000"/>
        </w:rPr>
        <w:t xml:space="preserve">, </w:t>
      </w:r>
      <w:r w:rsidR="00B81E38">
        <w:rPr>
          <w:rFonts w:cs="ITCGaramondStd-Lt"/>
          <w:color w:val="000000"/>
        </w:rPr>
        <w:t xml:space="preserve">and </w:t>
      </w:r>
      <w:r>
        <w:rPr>
          <w:rFonts w:cs="ITCGaramondStd-Lt"/>
          <w:color w:val="000000"/>
        </w:rPr>
        <w:t>causing or not causing a pathology.</w:t>
      </w:r>
      <w:bookmarkEnd w:id="1"/>
      <w:r>
        <w:rPr>
          <w:rFonts w:cs="ITCGaramondStd-Lt"/>
          <w:color w:val="000000"/>
        </w:rPr>
        <w:t xml:space="preserve"> </w:t>
      </w:r>
      <w:r w:rsidR="001944FD">
        <w:rPr>
          <w:rFonts w:cs="ITCGaramondStd-Lt"/>
          <w:color w:val="000000"/>
        </w:rPr>
        <w:t xml:space="preserve">The most common mistake is to moralize the </w:t>
      </w:r>
      <w:r w:rsidR="00FB630D">
        <w:rPr>
          <w:rFonts w:cs="ITCGaramondStd-Lt"/>
          <w:color w:val="000000"/>
        </w:rPr>
        <w:t xml:space="preserve">killing/letting die </w:t>
      </w:r>
      <w:r w:rsidR="001944FD">
        <w:rPr>
          <w:rFonts w:cs="ITCGaramondStd-Lt"/>
          <w:color w:val="000000"/>
        </w:rPr>
        <w:t>distinction. However, t</w:t>
      </w:r>
      <w:r>
        <w:rPr>
          <w:rFonts w:cs="ITCGaramondStd-Lt"/>
          <w:color w:val="000000"/>
        </w:rPr>
        <w:t>o allow killing and letting die to be determined by the morality or the intention will not intuitively capture our descriptions of cases</w:t>
      </w:r>
      <w:r w:rsidR="00936502">
        <w:rPr>
          <w:rFonts w:cs="ITCGaramondStd-Lt"/>
          <w:color w:val="000000"/>
        </w:rPr>
        <w:t xml:space="preserve"> (McMahan,1993; Kamm, 1996)</w:t>
      </w:r>
      <w:r w:rsidR="00A34307">
        <w:rPr>
          <w:rFonts w:cs="ITCGaramondStd-Lt"/>
          <w:color w:val="000000"/>
        </w:rPr>
        <w:t>. My contention is that virtually e</w:t>
      </w:r>
      <w:r>
        <w:rPr>
          <w:rFonts w:cs="ITCGaramondStd-Lt"/>
          <w:color w:val="000000"/>
        </w:rPr>
        <w:t xml:space="preserve">verything sought by moralizing the killing and letting die </w:t>
      </w:r>
      <w:r w:rsidR="00A34307">
        <w:rPr>
          <w:rFonts w:cs="ITCGaramondStd-Lt"/>
          <w:color w:val="000000"/>
        </w:rPr>
        <w:t xml:space="preserve">distinction </w:t>
      </w:r>
      <w:r>
        <w:rPr>
          <w:rFonts w:cs="ITCGaramondStd-Lt"/>
          <w:color w:val="000000"/>
        </w:rPr>
        <w:t xml:space="preserve">can be captured instead </w:t>
      </w:r>
      <w:r w:rsidR="008F3D6D">
        <w:rPr>
          <w:rFonts w:cs="ITCGaramondStd-Lt"/>
          <w:color w:val="000000"/>
        </w:rPr>
        <w:t xml:space="preserve">by </w:t>
      </w:r>
      <w:r>
        <w:rPr>
          <w:rFonts w:cs="ITCGaramondStd-Lt"/>
          <w:color w:val="000000"/>
        </w:rPr>
        <w:t xml:space="preserve">an </w:t>
      </w:r>
      <w:r w:rsidRPr="006E5E53">
        <w:rPr>
          <w:rFonts w:cs="ITCGaramondStd-Lt"/>
          <w:i/>
          <w:color w:val="000000"/>
        </w:rPr>
        <w:t>adjectival approach</w:t>
      </w:r>
      <w:r>
        <w:rPr>
          <w:rFonts w:cs="ITCGaramondStd-Lt"/>
          <w:i/>
          <w:color w:val="000000"/>
        </w:rPr>
        <w:t xml:space="preserve"> </w:t>
      </w:r>
      <w:r w:rsidRPr="00D96359">
        <w:rPr>
          <w:rFonts w:cs="ITCGaramondStd-Lt"/>
          <w:color w:val="000000"/>
        </w:rPr>
        <w:t>t</w:t>
      </w:r>
      <w:r>
        <w:rPr>
          <w:rFonts w:cs="ITCGaramondStd-Lt"/>
          <w:color w:val="000000"/>
        </w:rPr>
        <w:t>h</w:t>
      </w:r>
      <w:r w:rsidRPr="00D96359">
        <w:rPr>
          <w:rFonts w:cs="ITCGaramondStd-Lt"/>
          <w:color w:val="000000"/>
        </w:rPr>
        <w:t>at</w:t>
      </w:r>
      <w:r>
        <w:rPr>
          <w:rFonts w:cs="ITCGaramondStd-Lt"/>
          <w:color w:val="000000"/>
        </w:rPr>
        <w:t xml:space="preserve"> defines killing and letting die in non-moral terms and then just qualifies </w:t>
      </w:r>
      <w:r w:rsidR="00A34307">
        <w:rPr>
          <w:rFonts w:cs="ITCGaramondStd-Lt"/>
          <w:color w:val="000000"/>
        </w:rPr>
        <w:t>them</w:t>
      </w:r>
      <w:r w:rsidR="00936502">
        <w:rPr>
          <w:rFonts w:cs="ITCGaramondStd-Lt"/>
          <w:color w:val="000000"/>
        </w:rPr>
        <w:t xml:space="preserve"> as </w:t>
      </w:r>
      <w:r>
        <w:rPr>
          <w:rFonts w:cs="ITCGaramondStd-Lt"/>
          <w:color w:val="000000"/>
        </w:rPr>
        <w:t>permissible, unjust, intentional</w:t>
      </w:r>
      <w:r w:rsidR="00936502">
        <w:rPr>
          <w:rFonts w:cs="ITCGaramondStd-Lt"/>
          <w:color w:val="000000"/>
        </w:rPr>
        <w:t>,</w:t>
      </w:r>
      <w:r>
        <w:rPr>
          <w:rFonts w:cs="ITCGaramondStd-Lt"/>
          <w:color w:val="000000"/>
        </w:rPr>
        <w:t xml:space="preserve"> foreseeable</w:t>
      </w:r>
      <w:r w:rsidR="00936502">
        <w:rPr>
          <w:rFonts w:cs="ITCGaramondStd-Lt"/>
          <w:color w:val="000000"/>
        </w:rPr>
        <w:t>, and so on</w:t>
      </w:r>
      <w:r>
        <w:rPr>
          <w:rFonts w:cs="ITCGaramondStd-Lt"/>
          <w:color w:val="000000"/>
        </w:rPr>
        <w:t>.</w:t>
      </w:r>
    </w:p>
    <w:p w:rsidR="00550EB9" w:rsidRDefault="00445C06" w:rsidP="00E83925">
      <w:pPr>
        <w:autoSpaceDE w:val="0"/>
        <w:autoSpaceDN w:val="0"/>
        <w:adjustRightInd w:val="0"/>
        <w:spacing w:after="0" w:line="480" w:lineRule="auto"/>
        <w:ind w:firstLine="720"/>
        <w:rPr>
          <w:rFonts w:cs="ITCGaramondStd-Lt"/>
          <w:color w:val="000000"/>
        </w:rPr>
      </w:pPr>
      <w:r>
        <w:rPr>
          <w:rFonts w:cs="ITCGaramondStd-Lt"/>
          <w:color w:val="000000"/>
        </w:rPr>
        <w:t xml:space="preserve">The </w:t>
      </w:r>
      <w:r w:rsidR="00D96359">
        <w:rPr>
          <w:rFonts w:cs="ITCGaramondStd-Lt"/>
          <w:color w:val="000000"/>
        </w:rPr>
        <w:t xml:space="preserve">value-free accounts of killing and letting die </w:t>
      </w:r>
      <w:r>
        <w:rPr>
          <w:rFonts w:cs="ITCGaramondStd-Lt"/>
          <w:color w:val="000000"/>
        </w:rPr>
        <w:t xml:space="preserve">on offer </w:t>
      </w:r>
      <w:r w:rsidR="00D96359">
        <w:rPr>
          <w:rFonts w:cs="ITCGaramondStd-Lt"/>
          <w:color w:val="000000"/>
        </w:rPr>
        <w:t xml:space="preserve">will render some cases of withdrawing aid to be killings while others are </w:t>
      </w:r>
      <w:r w:rsidR="001944FD">
        <w:rPr>
          <w:rFonts w:cs="ITCGaramondStd-Lt"/>
          <w:color w:val="000000"/>
        </w:rPr>
        <w:t xml:space="preserve">instances of </w:t>
      </w:r>
      <w:r w:rsidR="00D96359">
        <w:rPr>
          <w:rFonts w:cs="ITCGaramondStd-Lt"/>
          <w:color w:val="000000"/>
        </w:rPr>
        <w:t xml:space="preserve">letting die. The latter </w:t>
      </w:r>
      <w:r w:rsidR="00FB630D">
        <w:rPr>
          <w:rFonts w:cs="ITCGaramondStd-Lt"/>
          <w:color w:val="000000"/>
        </w:rPr>
        <w:t xml:space="preserve">categorization applies when </w:t>
      </w:r>
      <w:r w:rsidR="00D96359">
        <w:rPr>
          <w:rFonts w:cs="ITCGaramondStd-Lt"/>
          <w:color w:val="000000"/>
        </w:rPr>
        <w:t xml:space="preserve">the withdrawal of life support </w:t>
      </w:r>
      <w:r w:rsidR="00974B7B">
        <w:rPr>
          <w:rFonts w:cs="ITCGaramondStd-Lt"/>
          <w:color w:val="000000"/>
        </w:rPr>
        <w:t xml:space="preserve">is </w:t>
      </w:r>
      <w:r w:rsidR="00D96359">
        <w:rPr>
          <w:rFonts w:cs="ITCGaramondStd-Lt"/>
          <w:color w:val="000000"/>
        </w:rPr>
        <w:t xml:space="preserve">done by the individual(s) sustaining the life. Extraction abortions </w:t>
      </w:r>
      <w:r w:rsidR="00974B7B">
        <w:rPr>
          <w:rFonts w:cs="ITCGaramondStd-Lt"/>
          <w:color w:val="000000"/>
        </w:rPr>
        <w:t xml:space="preserve">(hysterotomies) </w:t>
      </w:r>
      <w:r w:rsidR="00D96359">
        <w:rPr>
          <w:rFonts w:cs="ITCGaramondStd-Lt"/>
          <w:color w:val="000000"/>
        </w:rPr>
        <w:t xml:space="preserve">that are not self-imposed </w:t>
      </w:r>
      <w:r w:rsidR="00103D9A">
        <w:rPr>
          <w:rFonts w:cs="ITCGaramondStd-Lt"/>
          <w:color w:val="000000"/>
        </w:rPr>
        <w:t xml:space="preserve">aren’t </w:t>
      </w:r>
      <w:r w:rsidR="00D96359">
        <w:rPr>
          <w:rFonts w:cs="ITCGaramondStd-Lt"/>
          <w:color w:val="000000"/>
        </w:rPr>
        <w:t>cases of letting die as those withdrawing the aid d</w:t>
      </w:r>
      <w:r w:rsidR="00974B7B">
        <w:rPr>
          <w:rFonts w:cs="ITCGaramondStd-Lt"/>
          <w:color w:val="000000"/>
        </w:rPr>
        <w:t xml:space="preserve">o not </w:t>
      </w:r>
      <w:r w:rsidR="00D96359">
        <w:rPr>
          <w:rFonts w:cs="ITCGaramondStd-Lt"/>
          <w:color w:val="000000"/>
        </w:rPr>
        <w:t xml:space="preserve">provide </w:t>
      </w:r>
      <w:r w:rsidR="001944FD">
        <w:rPr>
          <w:rFonts w:cs="ITCGaramondStd-Lt"/>
          <w:color w:val="000000"/>
        </w:rPr>
        <w:t xml:space="preserve">it. So, </w:t>
      </w:r>
      <w:r w:rsidR="00FB630D">
        <w:rPr>
          <w:rFonts w:cs="ITCGaramondStd-Lt"/>
          <w:color w:val="000000"/>
        </w:rPr>
        <w:t xml:space="preserve">for purposes of </w:t>
      </w:r>
      <w:r w:rsidR="001944FD">
        <w:rPr>
          <w:rFonts w:cs="ITCGaramondStd-Lt"/>
          <w:color w:val="000000"/>
        </w:rPr>
        <w:t>taxonomy</w:t>
      </w:r>
      <w:r w:rsidR="00FB630D">
        <w:rPr>
          <w:rFonts w:cs="ITCGaramondStd-Lt"/>
          <w:color w:val="000000"/>
        </w:rPr>
        <w:t xml:space="preserve">, when </w:t>
      </w:r>
      <w:r w:rsidR="001944FD">
        <w:rPr>
          <w:rFonts w:cs="ITCGaramondStd-Lt"/>
          <w:color w:val="000000"/>
        </w:rPr>
        <w:t xml:space="preserve">the extraction is </w:t>
      </w:r>
      <w:r w:rsidR="00974B7B">
        <w:rPr>
          <w:rFonts w:cs="ITCGaramondStd-Lt"/>
          <w:color w:val="000000"/>
        </w:rPr>
        <w:lastRenderedPageBreak/>
        <w:t>undertaken</w:t>
      </w:r>
      <w:r w:rsidR="001944FD">
        <w:rPr>
          <w:rFonts w:cs="ITCGaramondStd-Lt"/>
          <w:color w:val="000000"/>
        </w:rPr>
        <w:t xml:space="preserve"> by </w:t>
      </w:r>
      <w:r w:rsidR="00FC171F">
        <w:rPr>
          <w:rFonts w:cs="ITCGaramondStd-Lt"/>
          <w:color w:val="000000"/>
        </w:rPr>
        <w:t xml:space="preserve">medical personnel </w:t>
      </w:r>
      <w:r w:rsidR="003B230B">
        <w:rPr>
          <w:rFonts w:cs="ITCGaramondStd-Lt"/>
          <w:color w:val="000000"/>
        </w:rPr>
        <w:t xml:space="preserve">it doesn’t matter </w:t>
      </w:r>
      <w:r w:rsidR="000D3F29">
        <w:rPr>
          <w:rFonts w:cs="ITCGaramondStd-Lt"/>
          <w:color w:val="000000"/>
        </w:rPr>
        <w:t>that</w:t>
      </w:r>
      <w:r w:rsidR="00FC171F">
        <w:rPr>
          <w:rFonts w:cs="ITCGaramondStd-Lt"/>
          <w:color w:val="000000"/>
        </w:rPr>
        <w:t xml:space="preserve"> </w:t>
      </w:r>
      <w:r w:rsidR="00D96359">
        <w:rPr>
          <w:rFonts w:cs="ITCGaramondStd-Lt"/>
          <w:color w:val="000000"/>
        </w:rPr>
        <w:t xml:space="preserve">the </w:t>
      </w:r>
      <w:r w:rsidR="00EC4E41">
        <w:rPr>
          <w:rFonts w:cs="ITCGaramondStd-Lt"/>
          <w:color w:val="000000"/>
        </w:rPr>
        <w:t>embryo</w:t>
      </w:r>
      <w:r w:rsidR="00D96359">
        <w:rPr>
          <w:rFonts w:cs="ITCGaramondStd-Lt"/>
          <w:color w:val="000000"/>
        </w:rPr>
        <w:t xml:space="preserve"> subsequently asphyxiates </w:t>
      </w:r>
      <w:r w:rsidR="0008103A">
        <w:rPr>
          <w:rFonts w:cs="ITCGaramondStd-Lt"/>
          <w:color w:val="000000"/>
        </w:rPr>
        <w:t xml:space="preserve">without the mother’s support </w:t>
      </w:r>
      <w:r w:rsidR="00D96359">
        <w:rPr>
          <w:rFonts w:cs="ITCGaramondStd-Lt"/>
          <w:color w:val="000000"/>
        </w:rPr>
        <w:t>rather than suffers the infliction of a fatal blow, cut, or poison</w:t>
      </w:r>
      <w:r w:rsidR="000D3F29">
        <w:rPr>
          <w:rFonts w:cs="ITCGaramondStd-Lt"/>
          <w:color w:val="000000"/>
        </w:rPr>
        <w:t xml:space="preserve"> of the typical abortion.</w:t>
      </w:r>
      <w:r w:rsidR="00D96359">
        <w:rPr>
          <w:rFonts w:cs="ITCGaramondStd-Lt"/>
          <w:color w:val="000000"/>
        </w:rPr>
        <w:t xml:space="preserve"> </w:t>
      </w:r>
      <w:r w:rsidR="00FC171F">
        <w:rPr>
          <w:rFonts w:cs="ITCGaramondStd-Lt"/>
          <w:color w:val="000000"/>
        </w:rPr>
        <w:t xml:space="preserve">Abortion pills, on the other hand, can be absorbed without doctors placing them in the </w:t>
      </w:r>
      <w:r w:rsidR="00FB630D">
        <w:rPr>
          <w:rFonts w:cs="ITCGaramondStd-Lt"/>
          <w:color w:val="000000"/>
        </w:rPr>
        <w:t xml:space="preserve">pregnant </w:t>
      </w:r>
      <w:r w:rsidR="00FC171F">
        <w:rPr>
          <w:rFonts w:cs="ITCGaramondStd-Lt"/>
          <w:color w:val="000000"/>
        </w:rPr>
        <w:t>woman’s body</w:t>
      </w:r>
      <w:r w:rsidR="00FB630D">
        <w:rPr>
          <w:rFonts w:cs="ITCGaramondStd-Lt"/>
          <w:color w:val="000000"/>
        </w:rPr>
        <w:t xml:space="preserve">; therefore, the person withdrawing support from the </w:t>
      </w:r>
      <w:r w:rsidR="00550EB9">
        <w:rPr>
          <w:rFonts w:cs="ITCGaramondStd-Lt"/>
          <w:color w:val="000000"/>
        </w:rPr>
        <w:t>embryo</w:t>
      </w:r>
      <w:r w:rsidR="00FB630D">
        <w:rPr>
          <w:rFonts w:cs="ITCGaramondStd-Lt"/>
          <w:color w:val="000000"/>
        </w:rPr>
        <w:t xml:space="preserve"> </w:t>
      </w:r>
      <w:r w:rsidR="00974B7B">
        <w:rPr>
          <w:rFonts w:cs="ITCGaramondStd-Lt"/>
          <w:color w:val="000000"/>
        </w:rPr>
        <w:t>can be</w:t>
      </w:r>
      <w:r w:rsidR="00FB630D">
        <w:rPr>
          <w:rFonts w:cs="ITCGaramondStd-Lt"/>
          <w:color w:val="000000"/>
        </w:rPr>
        <w:t xml:space="preserve"> the </w:t>
      </w:r>
      <w:r w:rsidR="00B26195">
        <w:rPr>
          <w:rFonts w:cs="ITCGaramondStd-Lt"/>
          <w:color w:val="000000"/>
        </w:rPr>
        <w:t>woman</w:t>
      </w:r>
      <w:r w:rsidR="00FB630D">
        <w:rPr>
          <w:rFonts w:cs="ITCGaramondStd-Lt"/>
          <w:color w:val="000000"/>
        </w:rPr>
        <w:t xml:space="preserve"> providing it</w:t>
      </w:r>
      <w:r w:rsidR="00FC171F">
        <w:rPr>
          <w:rFonts w:cs="ITCGaramondStd-Lt"/>
          <w:color w:val="000000"/>
        </w:rPr>
        <w:t xml:space="preserve">. </w:t>
      </w:r>
      <w:r w:rsidR="00FB630D">
        <w:rPr>
          <w:rFonts w:cs="ITCGaramondStd-Lt"/>
          <w:color w:val="000000"/>
        </w:rPr>
        <w:t xml:space="preserve">Nevertheless, </w:t>
      </w:r>
      <w:r w:rsidR="00D96359">
        <w:rPr>
          <w:rFonts w:cs="ITCGaramondStd-Lt"/>
          <w:color w:val="000000"/>
        </w:rPr>
        <w:t xml:space="preserve">I will suggest that philosophers have been too quick to consider self-imposed extractive abortions to be cases of letting die. </w:t>
      </w:r>
      <w:r w:rsidR="00E53F35">
        <w:rPr>
          <w:rFonts w:cs="ITCGaramondStd-Lt"/>
          <w:color w:val="000000"/>
        </w:rPr>
        <w:t>T</w:t>
      </w:r>
      <w:r w:rsidR="00FC171F">
        <w:rPr>
          <w:rFonts w:cs="ITCGaramondStd-Lt"/>
          <w:color w:val="000000"/>
        </w:rPr>
        <w:t xml:space="preserve">he embryo is </w:t>
      </w:r>
      <w:r w:rsidR="00D96359">
        <w:rPr>
          <w:rFonts w:cs="ITCGaramondStd-Lt"/>
          <w:color w:val="000000"/>
        </w:rPr>
        <w:t xml:space="preserve">likely </w:t>
      </w:r>
      <w:r w:rsidR="00550EB9">
        <w:rPr>
          <w:rFonts w:cs="ITCGaramondStd-Lt"/>
          <w:color w:val="000000"/>
        </w:rPr>
        <w:t xml:space="preserve">fatally </w:t>
      </w:r>
      <w:r w:rsidR="00A67541">
        <w:rPr>
          <w:rFonts w:cs="ITCGaramondStd-Lt"/>
          <w:color w:val="000000"/>
        </w:rPr>
        <w:t>injured</w:t>
      </w:r>
      <w:r w:rsidR="00D96359">
        <w:rPr>
          <w:rFonts w:cs="ITCGaramondStd-Lt"/>
          <w:color w:val="000000"/>
        </w:rPr>
        <w:t xml:space="preserve"> in the withdrawal and not just starved </w:t>
      </w:r>
      <w:r w:rsidR="00FB630D">
        <w:rPr>
          <w:rFonts w:cs="ITCGaramondStd-Lt"/>
          <w:color w:val="000000"/>
        </w:rPr>
        <w:t xml:space="preserve">of support </w:t>
      </w:r>
      <w:r w:rsidR="00D96359">
        <w:rPr>
          <w:rFonts w:cs="ITCGaramondStd-Lt"/>
          <w:color w:val="000000"/>
        </w:rPr>
        <w:t xml:space="preserve">afterwards. </w:t>
      </w:r>
    </w:p>
    <w:p w:rsidR="00543584" w:rsidRPr="005C68BF" w:rsidRDefault="002F1A18" w:rsidP="00543584">
      <w:pPr>
        <w:autoSpaceDE w:val="0"/>
        <w:autoSpaceDN w:val="0"/>
        <w:adjustRightInd w:val="0"/>
        <w:spacing w:after="0" w:line="480" w:lineRule="auto"/>
        <w:ind w:firstLine="720"/>
      </w:pPr>
      <w:r w:rsidRPr="005C68BF">
        <w:t xml:space="preserve">I will proceed as follows: </w:t>
      </w:r>
      <w:r w:rsidR="00543584" w:rsidRPr="005C68BF">
        <w:t xml:space="preserve">Part I of the paper offers an account of how the killing and letting die distinction has been drawn and how it should be. A) In its first section, I argue that the distinction between killing and letting die can’t be made in terms of the former being causal actions and the latter being non-causal omissions because some actions involving withdrawing aid will involve causation, yet be classified as letting die. The nature of causation is quite contested, so I argue that it is best if the killing/letting die distinction can be resolved without relying upon a contentious metaphysic of causation. B) I next argue that killings should not be distinguished from instances of letting die on the grounds that the former are morally impermissible and the latter are not. There can be immoral cases of allowing death, morally permissible killings, and killings that lack a moral evaluation. There can also be instances of killing or letting die where motives are morally mixed, but it is clear that the act should be classified as either killing or letting die rather than both or as indeterminate. I will use various cases developed by Jeff McMahan to suggest the distinctive feature of X letting Y die is that X loses out on future life that could be retained only through X’s assistance. C) In the last section of the first half of the paper, I then fine-tune the killing/letting distinction. I make some qualifications to ensure killing and letting die are exclusive. And I show that any normativity involved in determining who is to be classified as belonging to the category of a death allower is independent of whether their letting someone die is moral or immoral. </w:t>
      </w:r>
    </w:p>
    <w:p w:rsidR="00543584" w:rsidRPr="005C68BF" w:rsidRDefault="00543584" w:rsidP="00543584">
      <w:pPr>
        <w:autoSpaceDE w:val="0"/>
        <w:autoSpaceDN w:val="0"/>
        <w:adjustRightInd w:val="0"/>
        <w:spacing w:after="0" w:line="480" w:lineRule="auto"/>
        <w:ind w:firstLine="720"/>
      </w:pPr>
      <w:bookmarkStart w:id="2" w:name="_Hlk69488568"/>
      <w:r w:rsidRPr="005C68BF">
        <w:lastRenderedPageBreak/>
        <w:t xml:space="preserve">Part II of the paper deals with extraction abortions. </w:t>
      </w:r>
      <w:r w:rsidR="00671E21" w:rsidRPr="005C68BF">
        <w:t>A</w:t>
      </w:r>
      <w:bookmarkStart w:id="3" w:name="_Hlk69488480"/>
      <w:r w:rsidRPr="005C68BF">
        <w:t xml:space="preserve">) </w:t>
      </w:r>
      <w:r w:rsidR="00327C07" w:rsidRPr="005C68BF">
        <w:t>I explore a couple of unsuccessful attempts to consider the abortion pill immoral</w:t>
      </w:r>
      <w:r w:rsidR="00D162AA">
        <w:t xml:space="preserve">. </w:t>
      </w:r>
      <w:r w:rsidR="00D162AA" w:rsidRPr="00252279">
        <w:t>One has to do with the special obligations of the mother to her embryo and the other tries to claim the abortion pill kills the unborn because the embryo is healthy prior to being removed.</w:t>
      </w:r>
      <w:r w:rsidR="00D162AA" w:rsidRPr="00D162AA">
        <w:t xml:space="preserve"> </w:t>
      </w:r>
      <w:r w:rsidR="00671E21" w:rsidRPr="005C68BF">
        <w:t xml:space="preserve">B) </w:t>
      </w:r>
      <w:r w:rsidRPr="005C68BF">
        <w:t xml:space="preserve">I </w:t>
      </w:r>
      <w:r w:rsidR="00327C07" w:rsidRPr="005C68BF">
        <w:t xml:space="preserve">instead </w:t>
      </w:r>
      <w:r w:rsidRPr="005C68BF">
        <w:t xml:space="preserve">suggest that a careful analysis of the pills’ operations and the assumption that the placenta is an organ of the embryo suggest the pills actually involve imposing lethal force to the embryo and thus kill it rather than just remove life-saving assistance. </w:t>
      </w:r>
      <w:bookmarkEnd w:id="3"/>
      <w:r w:rsidRPr="005C68BF">
        <w:t>C) I end the paper with a discussion of what follows if the embryo is a part of the mother. It turns out that even if I am wrong about the operations of the abortion pill and the placenta as an embryonic organ, removing the embryo from the mother of whom it is a part will kill it unlike removing life support from someone that is not a part of the entity providing the support.</w:t>
      </w:r>
    </w:p>
    <w:bookmarkEnd w:id="2"/>
    <w:p w:rsidR="001660A9" w:rsidRPr="0033232B" w:rsidRDefault="007959C3" w:rsidP="00E83925">
      <w:pPr>
        <w:autoSpaceDE w:val="0"/>
        <w:autoSpaceDN w:val="0"/>
        <w:adjustRightInd w:val="0"/>
        <w:spacing w:after="0" w:line="480" w:lineRule="auto"/>
        <w:jc w:val="center"/>
        <w:rPr>
          <w:b/>
          <w:sz w:val="30"/>
          <w:szCs w:val="30"/>
        </w:rPr>
      </w:pPr>
      <w:r w:rsidRPr="0033232B">
        <w:rPr>
          <w:b/>
          <w:sz w:val="30"/>
          <w:szCs w:val="30"/>
        </w:rPr>
        <w:t>Part I</w:t>
      </w:r>
      <w:r w:rsidR="00D96359" w:rsidRPr="0033232B">
        <w:rPr>
          <w:b/>
          <w:sz w:val="30"/>
          <w:szCs w:val="30"/>
        </w:rPr>
        <w:t>. A Value-Free Taxonomy of the Killing/Letting Die distinction</w:t>
      </w:r>
    </w:p>
    <w:p w:rsidR="007959C3" w:rsidRDefault="007959C3" w:rsidP="00E83925">
      <w:pPr>
        <w:autoSpaceDE w:val="0"/>
        <w:autoSpaceDN w:val="0"/>
        <w:adjustRightInd w:val="0"/>
        <w:spacing w:after="0" w:line="480" w:lineRule="auto"/>
        <w:jc w:val="center"/>
      </w:pPr>
      <w:r>
        <w:rPr>
          <w:b/>
        </w:rPr>
        <w:t>A. The Irrelevance of the Metaphysics of Causation to the Killing/Letting Die Distinction</w:t>
      </w:r>
    </w:p>
    <w:p w:rsidR="00D96359" w:rsidRDefault="00203DB6" w:rsidP="00E83925">
      <w:pPr>
        <w:spacing w:after="0" w:line="480" w:lineRule="auto"/>
        <w:ind w:firstLine="720"/>
      </w:pPr>
      <w:r>
        <w:t>To gain ins</w:t>
      </w:r>
      <w:r w:rsidR="006F4320">
        <w:t xml:space="preserve">ight into the </w:t>
      </w:r>
      <w:r w:rsidR="008A1591">
        <w:t xml:space="preserve">taxonomy of the </w:t>
      </w:r>
      <w:r w:rsidR="006F4320">
        <w:t>letting die distinction</w:t>
      </w:r>
      <w:r w:rsidR="00B835DD">
        <w:t>,</w:t>
      </w:r>
      <w:r w:rsidR="006F4320">
        <w:t xml:space="preserve"> let</w:t>
      </w:r>
      <w:r>
        <w:t xml:space="preserve"> us b</w:t>
      </w:r>
      <w:r w:rsidR="00D96359">
        <w:t xml:space="preserve">egin with contrasting the first and most famous Old Testament killing of Abel by Cain </w:t>
      </w:r>
      <w:r>
        <w:t xml:space="preserve">(Genesis 4:1) </w:t>
      </w:r>
      <w:r w:rsidR="00D96359">
        <w:t xml:space="preserve">with the </w:t>
      </w:r>
      <w:r w:rsidR="00F81F3C">
        <w:t>best</w:t>
      </w:r>
      <w:r w:rsidR="003D6A36">
        <w:t>-</w:t>
      </w:r>
      <w:r w:rsidR="00F81F3C">
        <w:t xml:space="preserve">known </w:t>
      </w:r>
      <w:r w:rsidR="00D96359">
        <w:t xml:space="preserve">New Testament </w:t>
      </w:r>
      <w:r w:rsidR="00936502">
        <w:t xml:space="preserve">story </w:t>
      </w:r>
      <w:r w:rsidR="00D96359">
        <w:t xml:space="preserve">of </w:t>
      </w:r>
      <w:r>
        <w:t xml:space="preserve">a </w:t>
      </w:r>
      <w:r w:rsidR="00D96359">
        <w:t>priest and Levite</w:t>
      </w:r>
      <w:r w:rsidR="00C4512A">
        <w:t xml:space="preserve"> -</w:t>
      </w:r>
      <w:r w:rsidR="00D96359">
        <w:t xml:space="preserve"> </w:t>
      </w:r>
      <w:r w:rsidR="00936502">
        <w:t xml:space="preserve">but not the Good Samaritan </w:t>
      </w:r>
      <w:r w:rsidR="00C4512A">
        <w:t xml:space="preserve">- </w:t>
      </w:r>
      <w:r w:rsidR="00D96359">
        <w:t xml:space="preserve">being willing </w:t>
      </w:r>
      <w:r w:rsidR="00B835DD">
        <w:t xml:space="preserve">to </w:t>
      </w:r>
      <w:r>
        <w:t xml:space="preserve">allow the death of </w:t>
      </w:r>
      <w:r w:rsidR="00D96359">
        <w:t xml:space="preserve">the </w:t>
      </w:r>
      <w:r w:rsidR="00B835DD">
        <w:t xml:space="preserve">traveler </w:t>
      </w:r>
      <w:r w:rsidR="00D96359">
        <w:t xml:space="preserve">waylaid </w:t>
      </w:r>
      <w:r w:rsidR="00B835DD">
        <w:t xml:space="preserve">by bandits on the road </w:t>
      </w:r>
      <w:r w:rsidR="00D96359">
        <w:t>from Jerusalem to Jericho</w:t>
      </w:r>
      <w:r>
        <w:t xml:space="preserve"> (Luke 10:25-37).</w:t>
      </w:r>
      <w:r w:rsidR="00D96359">
        <w:t xml:space="preserve"> Cain</w:t>
      </w:r>
      <w:r w:rsidR="006F4320">
        <w:t>’s</w:t>
      </w:r>
      <w:r w:rsidR="00D96359">
        <w:t xml:space="preserve"> motives</w:t>
      </w:r>
      <w:r w:rsidR="008F3FBB">
        <w:t xml:space="preserve"> are</w:t>
      </w:r>
      <w:r w:rsidR="00D96359">
        <w:t xml:space="preserve"> </w:t>
      </w:r>
      <w:r w:rsidR="006F4320">
        <w:t xml:space="preserve">bad - </w:t>
      </w:r>
      <w:r w:rsidR="00D96359">
        <w:t xml:space="preserve">jealously and anger, Cain intentionally </w:t>
      </w:r>
      <w:r w:rsidR="00851DBF">
        <w:t>brings about</w:t>
      </w:r>
      <w:r w:rsidR="00D96359">
        <w:t xml:space="preserve"> Abel</w:t>
      </w:r>
      <w:r w:rsidR="00851DBF">
        <w:t>’s death</w:t>
      </w:r>
      <w:r w:rsidR="006F4320">
        <w:t>.</w:t>
      </w:r>
      <w:r w:rsidR="00D96359">
        <w:t xml:space="preserve"> </w:t>
      </w:r>
      <w:r w:rsidR="006F4320">
        <w:t xml:space="preserve">Abel </w:t>
      </w:r>
      <w:r w:rsidR="008F3FBB">
        <w:t xml:space="preserve">doesn’t </w:t>
      </w:r>
      <w:r w:rsidR="006F4320">
        <w:t>w</w:t>
      </w:r>
      <w:r w:rsidR="007C7900">
        <w:t xml:space="preserve">ish </w:t>
      </w:r>
      <w:r w:rsidR="006F4320">
        <w:t>to die and d</w:t>
      </w:r>
      <w:r w:rsidR="008F3FBB">
        <w:t xml:space="preserve">oesn’t </w:t>
      </w:r>
      <w:r w:rsidR="006F4320">
        <w:t>deserve to die. His life certainly d</w:t>
      </w:r>
      <w:r w:rsidR="003B0BC1">
        <w:t>oes</w:t>
      </w:r>
      <w:r w:rsidR="006F4320">
        <w:t xml:space="preserve"> not belong to Cain, perhaps not even to himself, but to God.</w:t>
      </w:r>
      <w:r w:rsidR="00B835DD">
        <w:rPr>
          <w:rStyle w:val="FootnoteReference"/>
        </w:rPr>
        <w:footnoteReference w:id="2"/>
      </w:r>
      <w:r w:rsidR="006F4320">
        <w:t xml:space="preserve"> </w:t>
      </w:r>
      <w:r w:rsidR="00D96359">
        <w:t xml:space="preserve">The world’s first killing </w:t>
      </w:r>
      <w:r w:rsidR="007C7900">
        <w:t>is the murder o</w:t>
      </w:r>
      <w:r w:rsidR="00D96359">
        <w:t xml:space="preserve">f a family member whom </w:t>
      </w:r>
      <w:r w:rsidR="006F4320">
        <w:t xml:space="preserve">Cain </w:t>
      </w:r>
      <w:r w:rsidR="00D96359">
        <w:t>ha</w:t>
      </w:r>
      <w:r w:rsidR="002827CC">
        <w:t>s</w:t>
      </w:r>
      <w:r w:rsidR="00D96359">
        <w:t xml:space="preserve"> a special obligation to care</w:t>
      </w:r>
      <w:r w:rsidR="006F4320">
        <w:t xml:space="preserve"> for</w:t>
      </w:r>
      <w:r w:rsidR="00D96359">
        <w:t xml:space="preserve">, as he </w:t>
      </w:r>
      <w:r w:rsidR="007C7900">
        <w:t>is</w:t>
      </w:r>
      <w:r w:rsidR="00D96359">
        <w:t xml:space="preserve"> his </w:t>
      </w:r>
      <w:r w:rsidR="007B2AC9">
        <w:t>“</w:t>
      </w:r>
      <w:r w:rsidR="00D96359">
        <w:t>brother’s keeper</w:t>
      </w:r>
      <w:r w:rsidR="00543584">
        <w:t>.</w:t>
      </w:r>
      <w:r w:rsidR="007B2AC9">
        <w:t>”</w:t>
      </w:r>
      <w:r w:rsidR="00D96359">
        <w:t xml:space="preserve"> </w:t>
      </w:r>
      <w:r w:rsidR="006F4320">
        <w:t xml:space="preserve">His victim </w:t>
      </w:r>
      <w:r w:rsidR="00C4512A">
        <w:t>is</w:t>
      </w:r>
      <w:r w:rsidR="006F4320">
        <w:t xml:space="preserve"> </w:t>
      </w:r>
      <w:r w:rsidR="00D96359">
        <w:t>made in God’s image</w:t>
      </w:r>
      <w:r w:rsidR="00C319FE">
        <w:t xml:space="preserve"> </w:t>
      </w:r>
      <w:r w:rsidR="00C319FE" w:rsidRPr="00C319FE">
        <w:t>(Gen 1:26</w:t>
      </w:r>
      <w:r w:rsidR="00C319FE">
        <w:t xml:space="preserve">; </w:t>
      </w:r>
      <w:proofErr w:type="spellStart"/>
      <w:r w:rsidR="00C319FE" w:rsidRPr="00C319FE">
        <w:t>Wis</w:t>
      </w:r>
      <w:proofErr w:type="spellEnd"/>
      <w:r w:rsidR="00C319FE" w:rsidRPr="00C319FE">
        <w:t xml:space="preserve"> 2:23</w:t>
      </w:r>
      <w:r w:rsidR="00C319FE">
        <w:t xml:space="preserve">; </w:t>
      </w:r>
      <w:r w:rsidR="00C319FE" w:rsidRPr="00C319FE">
        <w:t>Sirach 17:3</w:t>
      </w:r>
      <w:r w:rsidR="00C319FE">
        <w:t xml:space="preserve">) </w:t>
      </w:r>
      <w:r w:rsidR="00D96359">
        <w:t>and thus of incomparable value. Cain cause</w:t>
      </w:r>
      <w:r w:rsidR="007C7900">
        <w:t>s</w:t>
      </w:r>
      <w:r w:rsidR="00D96359">
        <w:t xml:space="preserve"> the death of a </w:t>
      </w:r>
      <w:r w:rsidR="00D96359">
        <w:lastRenderedPageBreak/>
        <w:t xml:space="preserve">person who </w:t>
      </w:r>
      <w:r w:rsidR="007C7900">
        <w:t>is</w:t>
      </w:r>
      <w:r w:rsidR="00D96359">
        <w:t>n</w:t>
      </w:r>
      <w:r w:rsidR="007C7900">
        <w:t>’</w:t>
      </w:r>
      <w:r w:rsidR="00D96359">
        <w:t>t unhealthy</w:t>
      </w:r>
      <w:r w:rsidR="006F4320">
        <w:t>.</w:t>
      </w:r>
      <w:r w:rsidR="00D96359">
        <w:t xml:space="preserve"> Abel would have been fine without Cain’s involvement. Cain physically </w:t>
      </w:r>
      <w:r w:rsidR="00851DBF">
        <w:t>impose</w:t>
      </w:r>
      <w:r w:rsidR="00B26E83">
        <w:t>s</w:t>
      </w:r>
      <w:r w:rsidR="00851DBF">
        <w:t xml:space="preserve"> </w:t>
      </w:r>
      <w:r w:rsidR="00D96359">
        <w:t>a fatal pathology</w:t>
      </w:r>
      <w:r w:rsidR="006F4320">
        <w:t xml:space="preserve">. </w:t>
      </w:r>
      <w:bookmarkStart w:id="4" w:name="_GoBack"/>
      <w:r w:rsidR="00FE476F" w:rsidRPr="0031605D">
        <w:t>Abel’s</w:t>
      </w:r>
      <w:r w:rsidR="00851DBF">
        <w:t xml:space="preserve"> </w:t>
      </w:r>
      <w:bookmarkEnd w:id="4"/>
      <w:r w:rsidR="00851DBF">
        <w:t xml:space="preserve">death is a paradigm case of killing. But </w:t>
      </w:r>
      <w:r w:rsidR="00C4512A">
        <w:t>which of the fore-mentioned</w:t>
      </w:r>
      <w:r w:rsidR="00851DBF">
        <w:t xml:space="preserve"> </w:t>
      </w:r>
      <w:r w:rsidR="00C4512A">
        <w:t xml:space="preserve">is necessary </w:t>
      </w:r>
      <w:r w:rsidR="005F1FAE">
        <w:t>to render an act</w:t>
      </w:r>
      <w:r w:rsidR="00851DBF">
        <w:t xml:space="preserve"> a killing?</w:t>
      </w:r>
      <w:r w:rsidR="00851DBF" w:rsidRPr="00851DBF">
        <w:t xml:space="preserve"> </w:t>
      </w:r>
      <w:r w:rsidR="00851DBF">
        <w:t>I</w:t>
      </w:r>
      <w:r w:rsidR="005F1FAE">
        <w:t>’ll</w:t>
      </w:r>
      <w:r w:rsidR="00851DBF">
        <w:t xml:space="preserve"> argue that none but the last factor of imposing a fatal pathology is essential but </w:t>
      </w:r>
      <w:r w:rsidR="005F1FAE">
        <w:t>it</w:t>
      </w:r>
      <w:r w:rsidR="00851DBF">
        <w:t xml:space="preserve"> isn’t sufficient to constitute a killing. However, the rest are relevant to making a killing wrong and the degree of the wrongness.</w:t>
      </w:r>
    </w:p>
    <w:p w:rsidR="00D96359" w:rsidRDefault="00D96359" w:rsidP="00E83925">
      <w:pPr>
        <w:spacing w:after="0" w:line="480" w:lineRule="auto"/>
        <w:ind w:firstLine="720"/>
      </w:pPr>
      <w:r>
        <w:t xml:space="preserve">The </w:t>
      </w:r>
      <w:r w:rsidR="006F4320">
        <w:t>g</w:t>
      </w:r>
      <w:r>
        <w:t xml:space="preserve">ood </w:t>
      </w:r>
      <w:r w:rsidR="006F4320">
        <w:t xml:space="preserve">Samaritan </w:t>
      </w:r>
      <w:r>
        <w:t xml:space="preserve">and </w:t>
      </w:r>
      <w:r w:rsidR="006F4320">
        <w:t xml:space="preserve">the </w:t>
      </w:r>
      <w:r>
        <w:t xml:space="preserve">bad Samaritans </w:t>
      </w:r>
      <w:r w:rsidR="006F4320">
        <w:t xml:space="preserve">(Levite and Priest) </w:t>
      </w:r>
      <w:r w:rsidR="00851DBF">
        <w:t>do</w:t>
      </w:r>
      <w:r>
        <w:t xml:space="preserve"> not cause the injuries that </w:t>
      </w:r>
      <w:r w:rsidR="00851DBF">
        <w:t>c</w:t>
      </w:r>
      <w:r>
        <w:t>ould have been fatal to a man made in God’s image</w:t>
      </w:r>
      <w:r w:rsidR="006F4320">
        <w:t>. They</w:t>
      </w:r>
      <w:r>
        <w:t xml:space="preserve"> encounter someone who </w:t>
      </w:r>
      <w:r w:rsidR="00851DBF">
        <w:t xml:space="preserve">isn’t </w:t>
      </w:r>
      <w:r w:rsidR="005F1FAE">
        <w:t>kin</w:t>
      </w:r>
      <w:r>
        <w:t xml:space="preserve"> </w:t>
      </w:r>
      <w:r w:rsidR="00851DBF">
        <w:t>n</w:t>
      </w:r>
      <w:r>
        <w:t xml:space="preserve">or </w:t>
      </w:r>
      <w:r w:rsidR="005F1FAE">
        <w:t xml:space="preserve">anyone </w:t>
      </w:r>
      <w:r>
        <w:t>they ha</w:t>
      </w:r>
      <w:r w:rsidR="00851DBF">
        <w:t>ve</w:t>
      </w:r>
      <w:r>
        <w:t xml:space="preserve"> a special </w:t>
      </w:r>
      <w:r w:rsidRPr="00851DBF">
        <w:rPr>
          <w:i/>
        </w:rPr>
        <w:t>agent relative</w:t>
      </w:r>
      <w:r>
        <w:t xml:space="preserve"> obligation to save</w:t>
      </w:r>
      <w:r w:rsidR="00E26505">
        <w:t>.</w:t>
      </w:r>
      <w:r w:rsidR="006F4320">
        <w:rPr>
          <w:rStyle w:val="FootnoteReference"/>
        </w:rPr>
        <w:footnoteReference w:id="3"/>
      </w:r>
      <w:r w:rsidR="00E26505">
        <w:t xml:space="preserve"> The person facing death </w:t>
      </w:r>
      <w:r w:rsidR="00851DBF">
        <w:t>is</w:t>
      </w:r>
      <w:r w:rsidR="00E26505">
        <w:t xml:space="preserve"> </w:t>
      </w:r>
      <w:r>
        <w:t>unhealthy</w:t>
      </w:r>
      <w:r w:rsidR="00E26505">
        <w:t xml:space="preserve"> when encountered</w:t>
      </w:r>
      <w:r>
        <w:t>, likely dying</w:t>
      </w:r>
      <w:r w:rsidR="00355BB3">
        <w:t xml:space="preserve"> as he is described as “half dead” (Luke 10:30)</w:t>
      </w:r>
      <w:r w:rsidR="00E26505">
        <w:t xml:space="preserve">. We </w:t>
      </w:r>
      <w:r>
        <w:t xml:space="preserve">don’t know if </w:t>
      </w:r>
      <w:r w:rsidR="00C319FE">
        <w:t xml:space="preserve">the </w:t>
      </w:r>
      <w:r w:rsidR="00E26505">
        <w:t>bad Samaritan</w:t>
      </w:r>
      <w:r w:rsidR="00C319FE">
        <w:t>s</w:t>
      </w:r>
      <w:r w:rsidR="00E26505">
        <w:t xml:space="preserve"> </w:t>
      </w:r>
      <w:r>
        <w:t xml:space="preserve">want him to die from his injuries, but </w:t>
      </w:r>
      <w:r w:rsidR="00E26505">
        <w:t xml:space="preserve">their crossing to the other side of the </w:t>
      </w:r>
      <w:r w:rsidR="00936502">
        <w:t xml:space="preserve">road (Luke 10:32) </w:t>
      </w:r>
      <w:r w:rsidR="00E26505">
        <w:t xml:space="preserve">suggests they </w:t>
      </w:r>
      <w:r w:rsidR="00936502">
        <w:t xml:space="preserve">sought </w:t>
      </w:r>
      <w:r w:rsidR="00E26505">
        <w:t>no</w:t>
      </w:r>
      <w:r w:rsidR="00936502">
        <w:t xml:space="preserve">t his death but </w:t>
      </w:r>
      <w:r w:rsidR="00851DBF">
        <w:t xml:space="preserve">to avoid saving </w:t>
      </w:r>
      <w:r w:rsidR="00936502">
        <w:t>his life</w:t>
      </w:r>
      <w:r w:rsidR="00E26505">
        <w:t xml:space="preserve">. They </w:t>
      </w:r>
      <w:r w:rsidR="00F81F3C">
        <w:t>“</w:t>
      </w:r>
      <w:r w:rsidR="00E26505">
        <w:t>own</w:t>
      </w:r>
      <w:r w:rsidR="00F81F3C">
        <w:t>”</w:t>
      </w:r>
      <w:r w:rsidR="00E26505">
        <w:t xml:space="preserve"> the efforts that they refuse to provide. The injured </w:t>
      </w:r>
      <w:r w:rsidR="00945EA5">
        <w:t xml:space="preserve">will </w:t>
      </w:r>
      <w:r w:rsidR="00E26505">
        <w:t xml:space="preserve">not live without the </w:t>
      </w:r>
      <w:r w:rsidR="00936502">
        <w:t xml:space="preserve">assistance </w:t>
      </w:r>
      <w:r w:rsidR="00E26505">
        <w:t xml:space="preserve">of a </w:t>
      </w:r>
      <w:r w:rsidR="003C1B3D">
        <w:t>g</w:t>
      </w:r>
      <w:r w:rsidR="00E26505">
        <w:t>ood Samarita</w:t>
      </w:r>
      <w:r w:rsidR="009B34E9">
        <w:t>n who provide</w:t>
      </w:r>
      <w:r w:rsidR="00945EA5">
        <w:t>s</w:t>
      </w:r>
      <w:r w:rsidR="009B34E9">
        <w:t xml:space="preserve"> oil, wine, and bandages for the wounds, transport to the inn, and funds for convalescence</w:t>
      </w:r>
      <w:r w:rsidR="00E26505">
        <w:t>.</w:t>
      </w:r>
      <w:r w:rsidR="002E26FE">
        <w:t xml:space="preserve"> </w:t>
      </w:r>
      <w:r w:rsidR="007B58AB">
        <w:t>Either t</w:t>
      </w:r>
      <w:r w:rsidR="005F41DA">
        <w:t xml:space="preserve">he Levite </w:t>
      </w:r>
      <w:r w:rsidR="007B58AB">
        <w:t xml:space="preserve">or </w:t>
      </w:r>
      <w:r w:rsidR="005F41DA">
        <w:t xml:space="preserve">priestly bad Samaritans would have been </w:t>
      </w:r>
      <w:r w:rsidR="007B58AB">
        <w:t xml:space="preserve">a </w:t>
      </w:r>
      <w:r w:rsidR="005F41DA">
        <w:t xml:space="preserve">paradigm case of letting someone die if the </w:t>
      </w:r>
      <w:r w:rsidR="003C1B3D">
        <w:t>g</w:t>
      </w:r>
      <w:r w:rsidR="005F41DA">
        <w:t xml:space="preserve">ood Samaritan hadn’t intervened. </w:t>
      </w:r>
      <w:r w:rsidR="005347CC">
        <w:t xml:space="preserve">If he </w:t>
      </w:r>
      <w:r w:rsidR="00A42902">
        <w:t xml:space="preserve">too </w:t>
      </w:r>
      <w:r w:rsidR="005347CC">
        <w:t xml:space="preserve">had refrained, what would have </w:t>
      </w:r>
      <w:r w:rsidR="007B58AB">
        <w:t xml:space="preserve">made the traveler’s demise a case of </w:t>
      </w:r>
      <w:r w:rsidR="005F41DA">
        <w:t>let</w:t>
      </w:r>
      <w:r w:rsidR="005347CC">
        <w:t>ting</w:t>
      </w:r>
      <w:r w:rsidR="005F41DA">
        <w:t xml:space="preserve"> </w:t>
      </w:r>
      <w:r>
        <w:t>die</w:t>
      </w:r>
      <w:r w:rsidR="00A42902">
        <w:t>?</w:t>
      </w:r>
      <w:r w:rsidR="00936502">
        <w:t xml:space="preserve"> </w:t>
      </w:r>
      <w:r>
        <w:t>My contention is that only the la</w:t>
      </w:r>
      <w:r w:rsidR="002E26FE">
        <w:t xml:space="preserve">st feature of letting someone die by not providing the assistance required for more life </w:t>
      </w:r>
      <w:r>
        <w:t>is essential and</w:t>
      </w:r>
      <w:r w:rsidR="00A42902">
        <w:t>, with a little fine tuning,</w:t>
      </w:r>
      <w:r>
        <w:t xml:space="preserve"> it is also sufficient. </w:t>
      </w:r>
    </w:p>
    <w:p w:rsidR="00924199" w:rsidRDefault="0039367B" w:rsidP="00E83925">
      <w:pPr>
        <w:spacing w:after="0" w:line="480" w:lineRule="auto"/>
        <w:ind w:firstLine="720"/>
      </w:pPr>
      <w:r>
        <w:t xml:space="preserve">Since our main concern is to classify withdrawing </w:t>
      </w:r>
      <w:r w:rsidR="00B26E83">
        <w:t xml:space="preserve">life sustaining </w:t>
      </w:r>
      <w:r>
        <w:t xml:space="preserve">aid, </w:t>
      </w:r>
      <w:r w:rsidR="00E47F84">
        <w:t xml:space="preserve">imagine the counterfactual in which the </w:t>
      </w:r>
      <w:r w:rsidR="002B76A9">
        <w:t>Samaria</w:t>
      </w:r>
      <w:r w:rsidR="00B26E83">
        <w:t>n</w:t>
      </w:r>
      <w:r w:rsidR="002B76A9">
        <w:t xml:space="preserve"> change</w:t>
      </w:r>
      <w:r w:rsidR="00B26E83">
        <w:t>s</w:t>
      </w:r>
      <w:r w:rsidR="002B76A9">
        <w:t xml:space="preserve"> his mind </w:t>
      </w:r>
      <w:r w:rsidR="00E47F84">
        <w:t xml:space="preserve">while </w:t>
      </w:r>
      <w:r w:rsidR="00B26E83">
        <w:t>preparing t</w:t>
      </w:r>
      <w:r w:rsidR="003B7636">
        <w:t xml:space="preserve">he </w:t>
      </w:r>
      <w:r w:rsidR="00B26E83">
        <w:t>injured man for transport to the inn</w:t>
      </w:r>
      <w:r w:rsidR="00D96359">
        <w:t xml:space="preserve">. </w:t>
      </w:r>
      <w:r w:rsidR="007A5F5A">
        <w:t xml:space="preserve">He stops </w:t>
      </w:r>
      <w:r w:rsidR="009B34E9">
        <w:t xml:space="preserve">administering </w:t>
      </w:r>
      <w:r w:rsidR="007A5F5A">
        <w:t xml:space="preserve">oil and wine and bandaging the wounds, and instead pulls off the partially applied bandages and </w:t>
      </w:r>
      <w:r w:rsidR="00D96359">
        <w:t>sponge</w:t>
      </w:r>
      <w:r w:rsidR="00F4392E">
        <w:t>s</w:t>
      </w:r>
      <w:r w:rsidR="00D96359">
        <w:t xml:space="preserve"> up the </w:t>
      </w:r>
      <w:r w:rsidR="007A5F5A">
        <w:t xml:space="preserve">partially </w:t>
      </w:r>
      <w:r w:rsidR="00556F32">
        <w:t xml:space="preserve">applied </w:t>
      </w:r>
      <w:r w:rsidR="00D96359">
        <w:t>oil and w</w:t>
      </w:r>
      <w:r w:rsidR="002827CC">
        <w:t>ine</w:t>
      </w:r>
      <w:r w:rsidR="00D96359">
        <w:t>.</w:t>
      </w:r>
      <w:r w:rsidR="002827CC">
        <w:t xml:space="preserve"> </w:t>
      </w:r>
      <w:r w:rsidR="00D96359">
        <w:t>That is</w:t>
      </w:r>
      <w:r w:rsidR="00556F32">
        <w:t>,</w:t>
      </w:r>
      <w:r w:rsidR="00D96359">
        <w:t xml:space="preserve"> he </w:t>
      </w:r>
      <w:r w:rsidR="00D96359">
        <w:lastRenderedPageBreak/>
        <w:t>withdr</w:t>
      </w:r>
      <w:r w:rsidR="00F4392E">
        <w:t>aws</w:t>
      </w:r>
      <w:r w:rsidR="00D96359">
        <w:t xml:space="preserve"> life</w:t>
      </w:r>
      <w:r w:rsidR="00556F32">
        <w:t>-</w:t>
      </w:r>
      <w:r w:rsidR="00D96359">
        <w:t>saving aid. D</w:t>
      </w:r>
      <w:r w:rsidR="00F4392E">
        <w:t>oes</w:t>
      </w:r>
      <w:r w:rsidR="00D96359">
        <w:t xml:space="preserve"> he kill the wounded man</w:t>
      </w:r>
      <w:r w:rsidR="00A42902">
        <w:t>?</w:t>
      </w:r>
      <w:r w:rsidR="00D96359">
        <w:t xml:space="preserve"> H</w:t>
      </w:r>
      <w:r w:rsidR="00104EB0">
        <w:t>is withdraw</w:t>
      </w:r>
      <w:r w:rsidR="00A42902">
        <w:t>ing</w:t>
      </w:r>
      <w:r w:rsidR="00104EB0">
        <w:t xml:space="preserve"> aid </w:t>
      </w:r>
      <w:r w:rsidR="00F4392E">
        <w:t xml:space="preserve">is </w:t>
      </w:r>
      <w:r w:rsidR="00104EB0">
        <w:t xml:space="preserve">an act </w:t>
      </w:r>
      <w:r w:rsidR="00D96359">
        <w:t xml:space="preserve">rather than </w:t>
      </w:r>
      <w:r w:rsidR="00104EB0">
        <w:t>an omission to save</w:t>
      </w:r>
      <w:r w:rsidR="00D96359">
        <w:t xml:space="preserve">. </w:t>
      </w:r>
      <w:r w:rsidR="00556F32">
        <w:t>His action causally contribute</w:t>
      </w:r>
      <w:r w:rsidR="00F4392E">
        <w:t>s</w:t>
      </w:r>
      <w:r w:rsidR="00556F32">
        <w:t xml:space="preserve"> to the man’s death. </w:t>
      </w:r>
      <w:r w:rsidR="00D96359">
        <w:t>He withdr</w:t>
      </w:r>
      <w:r w:rsidR="00F4392E">
        <w:t>aws</w:t>
      </w:r>
      <w:r w:rsidR="00D96359">
        <w:t xml:space="preserve"> what he own</w:t>
      </w:r>
      <w:r w:rsidR="00F4392E">
        <w:t>s</w:t>
      </w:r>
      <w:r w:rsidR="007A5F5A">
        <w:t xml:space="preserve"> and </w:t>
      </w:r>
      <w:r w:rsidR="00B26E83">
        <w:t>is</w:t>
      </w:r>
      <w:r w:rsidR="007A5F5A">
        <w:t xml:space="preserve"> in the process of applying </w:t>
      </w:r>
      <w:r w:rsidR="00D96359">
        <w:t>(bandages</w:t>
      </w:r>
      <w:r w:rsidR="00A42902">
        <w:t>, oil, wine</w:t>
      </w:r>
      <w:r w:rsidR="00D96359">
        <w:t>)</w:t>
      </w:r>
      <w:r w:rsidR="00FF7EE3">
        <w:t xml:space="preserve">. </w:t>
      </w:r>
      <w:r w:rsidR="00D96359">
        <w:t xml:space="preserve">Would </w:t>
      </w:r>
      <w:r w:rsidR="00936502">
        <w:t xml:space="preserve">the determination of </w:t>
      </w:r>
      <w:r w:rsidR="00A42902">
        <w:t>whether he kill</w:t>
      </w:r>
      <w:r w:rsidR="00B26E83">
        <w:t>s</w:t>
      </w:r>
      <w:r w:rsidR="00A42902">
        <w:t xml:space="preserve"> or let</w:t>
      </w:r>
      <w:r w:rsidR="00B26E83">
        <w:t>s</w:t>
      </w:r>
      <w:r w:rsidR="00A42902">
        <w:t xml:space="preserve"> the man die </w:t>
      </w:r>
      <w:r w:rsidR="00936502">
        <w:t>depend upon</w:t>
      </w:r>
      <w:r w:rsidR="00D96359">
        <w:t xml:space="preserve"> his motives </w:t>
      </w:r>
      <w:r w:rsidR="00936502">
        <w:t xml:space="preserve">being </w:t>
      </w:r>
      <w:r w:rsidR="00D96359">
        <w:t xml:space="preserve">noble or ignoble? </w:t>
      </w:r>
      <w:r w:rsidR="00556F32">
        <w:t>W</w:t>
      </w:r>
      <w:r w:rsidR="00D96359">
        <w:t xml:space="preserve">e can imagine </w:t>
      </w:r>
      <w:r w:rsidR="00924199">
        <w:t>the Samarian’s</w:t>
      </w:r>
      <w:r w:rsidR="00D96359">
        <w:t xml:space="preserve"> intention </w:t>
      </w:r>
      <w:r w:rsidR="00F4392E">
        <w:t>is</w:t>
      </w:r>
      <w:r w:rsidR="00D96359">
        <w:t xml:space="preserve"> to save money as </w:t>
      </w:r>
      <w:r w:rsidR="00924199">
        <w:t xml:space="preserve">he either realizes that </w:t>
      </w:r>
      <w:r w:rsidR="00D96359">
        <w:t xml:space="preserve">the innkeeper </w:t>
      </w:r>
      <w:r w:rsidR="00924199">
        <w:t xml:space="preserve">will </w:t>
      </w:r>
      <w:r w:rsidR="00D96359">
        <w:t xml:space="preserve">need far more than two </w:t>
      </w:r>
      <w:r w:rsidR="00752887">
        <w:t>denarii</w:t>
      </w:r>
      <w:r w:rsidR="00D96359">
        <w:t xml:space="preserve"> which cut</w:t>
      </w:r>
      <w:r w:rsidR="00F4392E">
        <w:t>s</w:t>
      </w:r>
      <w:r w:rsidR="00D96359">
        <w:t xml:space="preserve"> into his </w:t>
      </w:r>
      <w:r w:rsidR="00F4392E">
        <w:t xml:space="preserve">wine </w:t>
      </w:r>
      <w:r w:rsidR="00D96359">
        <w:t xml:space="preserve">drinking budget </w:t>
      </w:r>
      <w:r w:rsidR="00556F32">
        <w:t xml:space="preserve">or </w:t>
      </w:r>
      <w:r w:rsidR="00D96359">
        <w:t>discover</w:t>
      </w:r>
      <w:r w:rsidR="00924199">
        <w:t>s</w:t>
      </w:r>
      <w:r w:rsidR="00D96359">
        <w:t xml:space="preserve"> the man </w:t>
      </w:r>
      <w:r w:rsidR="00924199">
        <w:t xml:space="preserve">isn’t </w:t>
      </w:r>
      <w:r w:rsidR="00D96359">
        <w:t>a fellow Samarian but a hated Jew</w:t>
      </w:r>
      <w:r w:rsidR="00556F32">
        <w:t>.</w:t>
      </w:r>
      <w:r w:rsidR="00D96359">
        <w:t xml:space="preserve"> </w:t>
      </w:r>
      <w:r w:rsidR="00924199">
        <w:t>W</w:t>
      </w:r>
      <w:r w:rsidR="00D96359">
        <w:t xml:space="preserve">e </w:t>
      </w:r>
      <w:r w:rsidR="00104EB0">
        <w:t xml:space="preserve">can </w:t>
      </w:r>
      <w:r w:rsidR="00924199">
        <w:t xml:space="preserve">alternatively </w:t>
      </w:r>
      <w:r w:rsidR="009B34E9">
        <w:t xml:space="preserve">conceive his </w:t>
      </w:r>
      <w:r w:rsidR="00556F32">
        <w:t xml:space="preserve">motives </w:t>
      </w:r>
      <w:r w:rsidR="009B34E9">
        <w:t xml:space="preserve">to be </w:t>
      </w:r>
      <w:r w:rsidR="00B26E83">
        <w:t xml:space="preserve">decent </w:t>
      </w:r>
      <w:r w:rsidR="00556F32">
        <w:t>but that the traveler request</w:t>
      </w:r>
      <w:r w:rsidR="00F4392E">
        <w:t>s</w:t>
      </w:r>
      <w:r w:rsidR="00556F32">
        <w:t xml:space="preserve"> not to be moved to the inn and </w:t>
      </w:r>
      <w:r w:rsidR="00A42902">
        <w:t>insist</w:t>
      </w:r>
      <w:r w:rsidR="00F4392E">
        <w:t>s</w:t>
      </w:r>
      <w:r w:rsidR="00A42902">
        <w:t xml:space="preserve"> upon </w:t>
      </w:r>
      <w:r w:rsidR="00556F32">
        <w:t xml:space="preserve">the withdrawal of aid in order to not </w:t>
      </w:r>
      <w:r w:rsidR="00D96359">
        <w:t xml:space="preserve">suffer </w:t>
      </w:r>
      <w:r w:rsidR="00556F32">
        <w:t>any more</w:t>
      </w:r>
      <w:r w:rsidR="00936502">
        <w:t xml:space="preserve">. Perhaps </w:t>
      </w:r>
      <w:r w:rsidR="00556F32">
        <w:t xml:space="preserve">the bandages </w:t>
      </w:r>
      <w:r w:rsidR="00F4392E">
        <w:t>are</w:t>
      </w:r>
      <w:r w:rsidR="00556F32">
        <w:t xml:space="preserve"> extremely painful and the wine and oil st</w:t>
      </w:r>
      <w:r w:rsidR="00F4392E">
        <w:t xml:space="preserve">ing </w:t>
      </w:r>
      <w:r w:rsidR="00556F32">
        <w:t xml:space="preserve">horrifically, </w:t>
      </w:r>
      <w:r w:rsidR="00936502">
        <w:t xml:space="preserve">serving in the end </w:t>
      </w:r>
      <w:r w:rsidR="00556F32">
        <w:t xml:space="preserve">only </w:t>
      </w:r>
      <w:r w:rsidR="00F4392E">
        <w:t xml:space="preserve">to </w:t>
      </w:r>
      <w:r w:rsidR="008C2C9A">
        <w:t>postpone</w:t>
      </w:r>
      <w:r w:rsidR="00556F32">
        <w:t xml:space="preserve"> rather than prevent </w:t>
      </w:r>
      <w:r w:rsidR="00936502">
        <w:t>death from his injuries</w:t>
      </w:r>
      <w:r w:rsidR="00556F32">
        <w:t>.</w:t>
      </w:r>
      <w:r w:rsidR="00D96359">
        <w:t xml:space="preserve"> </w:t>
      </w:r>
      <w:r w:rsidR="00982D6B">
        <w:t>Just as some doctors intend patients die from with the withdrawal of life support (</w:t>
      </w:r>
      <w:proofErr w:type="spellStart"/>
      <w:r w:rsidR="00982D6B">
        <w:t>Boshard</w:t>
      </w:r>
      <w:proofErr w:type="spellEnd"/>
      <w:r w:rsidR="00982D6B">
        <w:t xml:space="preserve">, 2006), we </w:t>
      </w:r>
      <w:r w:rsidR="00556F32">
        <w:t xml:space="preserve">can </w:t>
      </w:r>
      <w:r w:rsidR="00982D6B">
        <w:t xml:space="preserve">imagine </w:t>
      </w:r>
      <w:r w:rsidR="00936502">
        <w:t xml:space="preserve">that </w:t>
      </w:r>
      <w:r w:rsidR="00556F32">
        <w:t xml:space="preserve">the Samaritan </w:t>
      </w:r>
      <w:r w:rsidR="007B58AB">
        <w:t>satisfie</w:t>
      </w:r>
      <w:r w:rsidR="00F4392E">
        <w:t>s</w:t>
      </w:r>
      <w:r w:rsidR="007B58AB">
        <w:t xml:space="preserve"> the injured</w:t>
      </w:r>
      <w:r w:rsidR="00445C06">
        <w:t xml:space="preserve"> man’s</w:t>
      </w:r>
      <w:r w:rsidR="007B58AB">
        <w:t xml:space="preserve"> request</w:t>
      </w:r>
      <w:r w:rsidR="00104EB0">
        <w:t xml:space="preserve"> while</w:t>
      </w:r>
      <w:r w:rsidR="007B58AB">
        <w:t xml:space="preserve"> intending </w:t>
      </w:r>
      <w:r w:rsidR="00556F32">
        <w:t>the man die a humane death sooner than later</w:t>
      </w:r>
      <w:r w:rsidR="00982D6B">
        <w:t xml:space="preserve">. Or just as doctors withdraw aid that they foresee but don’t intend to be fatal, we can conjecture that the Samarian </w:t>
      </w:r>
      <w:r w:rsidR="00556F32">
        <w:t>d</w:t>
      </w:r>
      <w:r w:rsidR="00F4392E">
        <w:t xml:space="preserve">oesn’t </w:t>
      </w:r>
      <w:r w:rsidR="00924199">
        <w:t xml:space="preserve">seek </w:t>
      </w:r>
      <w:r w:rsidR="00982D6B">
        <w:t xml:space="preserve">the traveler’s </w:t>
      </w:r>
      <w:r w:rsidR="00556F32">
        <w:t>death but just respect</w:t>
      </w:r>
      <w:r w:rsidR="00F4392E">
        <w:t>s</w:t>
      </w:r>
      <w:r w:rsidR="00556F32">
        <w:t xml:space="preserve"> the injured man’s demand that his bodily integrity be respected and no treatment forced upon him</w:t>
      </w:r>
      <w:r w:rsidR="007B58AB">
        <w:t>.</w:t>
      </w:r>
      <w:r w:rsidR="00556F32">
        <w:t xml:space="preserve"> </w:t>
      </w:r>
    </w:p>
    <w:p w:rsidR="00055421" w:rsidRDefault="00D96359" w:rsidP="00E83925">
      <w:pPr>
        <w:spacing w:after="0" w:line="480" w:lineRule="auto"/>
        <w:ind w:firstLine="720"/>
        <w:rPr>
          <w:rFonts w:cs="AdvTmath1"/>
        </w:rPr>
      </w:pPr>
      <w:r>
        <w:t xml:space="preserve">Franklin, Truog and Brock </w:t>
      </w:r>
      <w:r w:rsidR="00752887">
        <w:t>(</w:t>
      </w:r>
      <w:r w:rsidR="00104EB0">
        <w:t>2010</w:t>
      </w:r>
      <w:r w:rsidR="00752887">
        <w:t xml:space="preserve">) </w:t>
      </w:r>
      <w:r>
        <w:t xml:space="preserve">would claim that </w:t>
      </w:r>
      <w:r w:rsidR="00924199">
        <w:t xml:space="preserve">in our made-up story the Samaritan’s </w:t>
      </w:r>
      <w:r w:rsidR="007B58AB">
        <w:t xml:space="preserve">causal intervention </w:t>
      </w:r>
      <w:r w:rsidR="00445C06">
        <w:t xml:space="preserve">makes a </w:t>
      </w:r>
      <w:r>
        <w:t>difference</w:t>
      </w:r>
      <w:r w:rsidR="007B58AB">
        <w:t xml:space="preserve"> as it </w:t>
      </w:r>
      <w:r w:rsidR="00445C06">
        <w:t>is</w:t>
      </w:r>
      <w:r>
        <w:t xml:space="preserve"> </w:t>
      </w:r>
      <w:r w:rsidR="002213B2">
        <w:t xml:space="preserve">responsible for the </w:t>
      </w:r>
      <w:r w:rsidR="007B58AB">
        <w:t>death occurring sooner</w:t>
      </w:r>
      <w:r>
        <w:t>.</w:t>
      </w:r>
      <w:r w:rsidR="00982D6B">
        <w:t xml:space="preserve"> </w:t>
      </w:r>
      <w:r w:rsidR="00445C06">
        <w:t xml:space="preserve">My contention is that </w:t>
      </w:r>
      <w:r w:rsidR="00982D6B">
        <w:t xml:space="preserve">they and many </w:t>
      </w:r>
      <w:r w:rsidR="00936502">
        <w:t>others</w:t>
      </w:r>
      <w:r w:rsidR="00936502" w:rsidRPr="00936502">
        <w:t xml:space="preserve"> </w:t>
      </w:r>
      <w:r w:rsidR="00936502">
        <w:t>are making a mistake to “understand ‘killing’ in medicine, however, to mean causing death” (2010: 457). It is a</w:t>
      </w:r>
      <w:r w:rsidR="00C10C3E">
        <w:t>n</w:t>
      </w:r>
      <w:r w:rsidR="00936502">
        <w:t xml:space="preserve"> </w:t>
      </w:r>
      <w:r w:rsidR="00445C06">
        <w:t>error</w:t>
      </w:r>
      <w:r w:rsidR="00936502">
        <w:t xml:space="preserve"> to look to the nature of causation to distinguish killing from letting die. Caus</w:t>
      </w:r>
      <w:r w:rsidR="00F04874">
        <w:t xml:space="preserve">ation </w:t>
      </w:r>
      <w:r w:rsidR="00A80BF4">
        <w:t xml:space="preserve">will </w:t>
      </w:r>
      <w:r w:rsidR="00936502">
        <w:t xml:space="preserve">not </w:t>
      </w:r>
      <w:r w:rsidR="00A80BF4">
        <w:t>be sufficient</w:t>
      </w:r>
      <w:r w:rsidR="00C40404">
        <w:t xml:space="preserve"> to distinguish killing from </w:t>
      </w:r>
      <w:r w:rsidR="00445C06">
        <w:t>letting die</w:t>
      </w:r>
      <w:r w:rsidR="00A80BF4">
        <w:t>. First of all</w:t>
      </w:r>
      <w:r w:rsidR="00C40404">
        <w:t>,</w:t>
      </w:r>
      <w:r w:rsidR="00A80BF4">
        <w:t xml:space="preserve"> there are causal theories that render </w:t>
      </w:r>
      <w:r w:rsidR="006C6091">
        <w:t xml:space="preserve">even </w:t>
      </w:r>
      <w:r w:rsidR="00A80BF4">
        <w:t>omissions to be killings.</w:t>
      </w:r>
      <w:r w:rsidR="00AA7E6A">
        <w:rPr>
          <w:rStyle w:val="FootnoteReference"/>
        </w:rPr>
        <w:footnoteReference w:id="4"/>
      </w:r>
      <w:r w:rsidR="00A80BF4">
        <w:t xml:space="preserve"> This is true of </w:t>
      </w:r>
      <w:r w:rsidR="00A80BF4">
        <w:lastRenderedPageBreak/>
        <w:t>Hum</w:t>
      </w:r>
      <w:r w:rsidR="006C6091">
        <w:t>e</w:t>
      </w:r>
      <w:r w:rsidR="00A80BF4">
        <w:t>an reliability accounts. If certain omissions are regularly followed by deaths, th</w:t>
      </w:r>
      <w:r w:rsidR="00982D6B">
        <w:t>e</w:t>
      </w:r>
      <w:r w:rsidR="00A80BF4">
        <w:t xml:space="preserve">n those omissions cause the </w:t>
      </w:r>
      <w:r w:rsidR="00A80BF4" w:rsidRPr="00C40404">
        <w:t>death. Likewise</w:t>
      </w:r>
      <w:r w:rsidR="00C40404">
        <w:t>,</w:t>
      </w:r>
      <w:r w:rsidR="00A80BF4" w:rsidRPr="00C40404">
        <w:t xml:space="preserve"> for the counterfactual account of causation</w:t>
      </w:r>
      <w:r w:rsidR="00C40404" w:rsidRPr="00C40404">
        <w:t xml:space="preserve"> in which </w:t>
      </w:r>
      <w:r w:rsidR="00C40404" w:rsidRPr="00C40404">
        <w:rPr>
          <w:rFonts w:cs="AdvTmath1"/>
        </w:rPr>
        <w:t xml:space="preserve">events </w:t>
      </w:r>
      <w:r w:rsidR="00C40404" w:rsidRPr="00C40404">
        <w:rPr>
          <w:rFonts w:cs="AdvTmath2"/>
        </w:rPr>
        <w:t xml:space="preserve">c </w:t>
      </w:r>
      <w:r w:rsidR="00C40404" w:rsidRPr="00C40404">
        <w:rPr>
          <w:rFonts w:cs="AdvTmath1"/>
        </w:rPr>
        <w:t xml:space="preserve">and </w:t>
      </w:r>
      <w:r w:rsidR="00C40404" w:rsidRPr="00C40404">
        <w:rPr>
          <w:rFonts w:cs="AdvTmath2"/>
        </w:rPr>
        <w:t>e</w:t>
      </w:r>
      <w:r w:rsidR="00C40404" w:rsidRPr="00C40404">
        <w:rPr>
          <w:rFonts w:cs="AdvTmath1"/>
        </w:rPr>
        <w:t>—the cause and its e</w:t>
      </w:r>
      <w:r w:rsidR="00C40404">
        <w:rPr>
          <w:rFonts w:cs="AdvTmath1"/>
        </w:rPr>
        <w:t>ff</w:t>
      </w:r>
      <w:r w:rsidR="00C40404" w:rsidRPr="00C40404">
        <w:rPr>
          <w:rFonts w:cs="AdvTmath1"/>
        </w:rPr>
        <w:t>ect—both occur, but</w:t>
      </w:r>
      <w:r w:rsidR="00C40404">
        <w:rPr>
          <w:rFonts w:cs="AdvTmath1"/>
        </w:rPr>
        <w:t xml:space="preserve"> had </w:t>
      </w:r>
      <w:r w:rsidR="00C40404" w:rsidRPr="00C40404">
        <w:rPr>
          <w:rFonts w:cs="AdvTmath2"/>
        </w:rPr>
        <w:t xml:space="preserve">c </w:t>
      </w:r>
      <w:r w:rsidR="00C40404" w:rsidRPr="00C40404">
        <w:rPr>
          <w:rFonts w:cs="AdvTmath1"/>
        </w:rPr>
        <w:t>not occurr</w:t>
      </w:r>
      <w:r w:rsidR="00C40404">
        <w:rPr>
          <w:rFonts w:cs="AdvTmath1"/>
        </w:rPr>
        <w:t>ed</w:t>
      </w:r>
      <w:r w:rsidR="00C40404" w:rsidRPr="00C40404">
        <w:rPr>
          <w:rFonts w:cs="AdvTmath1"/>
        </w:rPr>
        <w:t xml:space="preserve">, </w:t>
      </w:r>
      <w:proofErr w:type="spellStart"/>
      <w:r w:rsidR="00C40404" w:rsidRPr="00C40404">
        <w:rPr>
          <w:rFonts w:cs="AdvTmath2"/>
        </w:rPr>
        <w:t>e</w:t>
      </w:r>
      <w:proofErr w:type="spellEnd"/>
      <w:r w:rsidR="00C40404" w:rsidRPr="00C40404">
        <w:rPr>
          <w:rFonts w:cs="AdvTmath2"/>
        </w:rPr>
        <w:t xml:space="preserve"> </w:t>
      </w:r>
      <w:r w:rsidR="00C40404" w:rsidRPr="00C40404">
        <w:rPr>
          <w:rFonts w:cs="AdvTmath1"/>
        </w:rPr>
        <w:t>would not have occurred either</w:t>
      </w:r>
      <w:r w:rsidR="00C40404">
        <w:rPr>
          <w:rFonts w:cs="AdvTmath1"/>
        </w:rPr>
        <w:t xml:space="preserve">. </w:t>
      </w:r>
      <w:r w:rsidR="00AE1ACB">
        <w:rPr>
          <w:rFonts w:cs="AdvTmath1"/>
        </w:rPr>
        <w:t>So</w:t>
      </w:r>
      <w:r w:rsidR="00936502">
        <w:rPr>
          <w:rFonts w:cs="AdvTmath1"/>
        </w:rPr>
        <w:t>,</w:t>
      </w:r>
      <w:r w:rsidR="00AE1ACB">
        <w:rPr>
          <w:rFonts w:cs="AdvTmath1"/>
        </w:rPr>
        <w:t xml:space="preserve"> w</w:t>
      </w:r>
      <w:r w:rsidR="00C40404">
        <w:rPr>
          <w:rFonts w:cs="AdvTmath1"/>
        </w:rPr>
        <w:t xml:space="preserve">ithout the person’s omission c, the effect e would not have occurred. </w:t>
      </w:r>
    </w:p>
    <w:p w:rsidR="00E3539E" w:rsidRDefault="00055421" w:rsidP="00E83925">
      <w:pPr>
        <w:spacing w:after="0" w:line="480" w:lineRule="auto"/>
        <w:ind w:firstLine="720"/>
      </w:pPr>
      <w:r>
        <w:rPr>
          <w:rFonts w:cs="AdvTmath1"/>
        </w:rPr>
        <w:t>I</w:t>
      </w:r>
      <w:r w:rsidR="00C40404">
        <w:rPr>
          <w:rFonts w:cs="AdvTmath1"/>
        </w:rPr>
        <w:t xml:space="preserve">f omissions are causes, </w:t>
      </w:r>
      <w:r w:rsidR="00AE1ACB">
        <w:rPr>
          <w:rFonts w:cs="AdvTmath1"/>
        </w:rPr>
        <w:t xml:space="preserve">yet </w:t>
      </w:r>
      <w:r w:rsidR="00C40404">
        <w:rPr>
          <w:rFonts w:cs="AdvTmath1"/>
        </w:rPr>
        <w:t xml:space="preserve">omissions are instances of letting someone die, then the presence or absence of causation will not be </w:t>
      </w:r>
      <w:r w:rsidR="00AE1ACB">
        <w:rPr>
          <w:rFonts w:cs="AdvTmath1"/>
        </w:rPr>
        <w:t xml:space="preserve">decisive </w:t>
      </w:r>
      <w:r w:rsidR="00C40404">
        <w:rPr>
          <w:rFonts w:cs="AdvTmath1"/>
        </w:rPr>
        <w:t xml:space="preserve">for distinguishing killing from letting die. Now </w:t>
      </w:r>
      <w:r w:rsidR="00D46049">
        <w:rPr>
          <w:rFonts w:cs="AdvTmath1"/>
        </w:rPr>
        <w:t xml:space="preserve">many </w:t>
      </w:r>
      <w:r w:rsidR="0015223D">
        <w:rPr>
          <w:rFonts w:cs="AdvTmath1"/>
        </w:rPr>
        <w:t xml:space="preserve">philosophers </w:t>
      </w:r>
      <w:r w:rsidR="00702CF7">
        <w:rPr>
          <w:rFonts w:cs="AdvTmath1"/>
        </w:rPr>
        <w:t xml:space="preserve">prefer metaphysical accounts in which </w:t>
      </w:r>
      <w:r w:rsidR="00C40404">
        <w:rPr>
          <w:rFonts w:cs="AdvTmath1"/>
        </w:rPr>
        <w:t xml:space="preserve">omissions are not causes </w:t>
      </w:r>
      <w:r w:rsidR="0015223D">
        <w:rPr>
          <w:rFonts w:cs="AdvTmath1"/>
        </w:rPr>
        <w:t xml:space="preserve">(Beebe). I happen to </w:t>
      </w:r>
      <w:r>
        <w:rPr>
          <w:rFonts w:cs="AdvTmath1"/>
        </w:rPr>
        <w:t xml:space="preserve">believe that </w:t>
      </w:r>
      <w:r w:rsidR="006C6091">
        <w:rPr>
          <w:rFonts w:cs="AdvTmath1"/>
        </w:rPr>
        <w:t xml:space="preserve">metaphysicians </w:t>
      </w:r>
      <w:r w:rsidR="00C40404">
        <w:rPr>
          <w:rFonts w:cs="AdvTmath1"/>
        </w:rPr>
        <w:t xml:space="preserve">should pursue a causal theory that </w:t>
      </w:r>
      <w:r w:rsidR="008C2C9A">
        <w:rPr>
          <w:rFonts w:cs="AdvTmath1"/>
        </w:rPr>
        <w:t xml:space="preserve">involves causes having </w:t>
      </w:r>
      <w:r w:rsidR="00C40404">
        <w:rPr>
          <w:rFonts w:cs="AdvTmath1"/>
        </w:rPr>
        <w:t>some “oomph”</w:t>
      </w:r>
      <w:r w:rsidR="00936502">
        <w:rPr>
          <w:rFonts w:cs="AdvTmath1"/>
        </w:rPr>
        <w:t xml:space="preserve"> to use the technical word</w:t>
      </w:r>
      <w:r>
        <w:rPr>
          <w:rFonts w:cs="AdvTmath1"/>
        </w:rPr>
        <w:t xml:space="preserve"> for the physical connection</w:t>
      </w:r>
      <w:r w:rsidR="00936502">
        <w:rPr>
          <w:rFonts w:cs="AdvTmath1"/>
        </w:rPr>
        <w:t>.</w:t>
      </w:r>
      <w:r w:rsidR="00982D6B">
        <w:rPr>
          <w:rFonts w:cs="AdvTmath1"/>
        </w:rPr>
        <w:t xml:space="preserve"> </w:t>
      </w:r>
      <w:r w:rsidRPr="00982D6B">
        <w:t xml:space="preserve">It is widely believed that </w:t>
      </w:r>
      <w:r>
        <w:t xml:space="preserve">Humean </w:t>
      </w:r>
      <w:r w:rsidRPr="00982D6B">
        <w:t xml:space="preserve">causation </w:t>
      </w:r>
      <w:r>
        <w:t xml:space="preserve">as regularities projected by the mind is wrong for causation </w:t>
      </w:r>
      <w:r w:rsidRPr="00982D6B">
        <w:t xml:space="preserve">requires a </w:t>
      </w:r>
      <w:r>
        <w:t xml:space="preserve">physical </w:t>
      </w:r>
      <w:r w:rsidRPr="00982D6B">
        <w:t>connection from cause to effect, such as an energy flow</w:t>
      </w:r>
      <w:r>
        <w:t xml:space="preserve"> or some other “persistence” of properties found in the model of colliding billiard balls.</w:t>
      </w:r>
      <w:r w:rsidRPr="00982D6B">
        <w:t xml:space="preserve"> But Schaffer (2000) dissent</w:t>
      </w:r>
      <w:r>
        <w:t>s</w:t>
      </w:r>
      <w:r w:rsidRPr="00982D6B">
        <w:t xml:space="preserve"> and </w:t>
      </w:r>
      <w:r>
        <w:t xml:space="preserve">provides </w:t>
      </w:r>
      <w:r w:rsidRPr="00982D6B">
        <w:t>counterexamples</w:t>
      </w:r>
      <w:r>
        <w:t xml:space="preserve"> of causation by disconnection that </w:t>
      </w:r>
      <w:r w:rsidR="00FE6B5A">
        <w:t xml:space="preserve">poses problems for </w:t>
      </w:r>
      <w:r>
        <w:t>the physical connection research program</w:t>
      </w:r>
      <w:r w:rsidRPr="00982D6B">
        <w:t>.</w:t>
      </w:r>
      <w:r>
        <w:t xml:space="preserve"> Disconnections, like omissions, rely upon absences. It won’t </w:t>
      </w:r>
      <w:r w:rsidR="00C379A2">
        <w:t>work</w:t>
      </w:r>
      <w:r>
        <w:t xml:space="preserve"> to deny that disconnections are causes as they are pervasive and present in paradigm cases of causality like fatal shootings.</w:t>
      </w:r>
      <w:r w:rsidRPr="00112139">
        <w:t xml:space="preserve"> </w:t>
      </w:r>
      <w:r>
        <w:t xml:space="preserve">Bullets to the heart disconnect blood flow from the heart to brain and thus don’t cause death by energy flows from </w:t>
      </w:r>
      <w:r w:rsidR="00BB7D19">
        <w:t xml:space="preserve">the </w:t>
      </w:r>
      <w:r>
        <w:t xml:space="preserve">heart to the brain but by an absence of blood. Even pulling a trigger disconnects the sear holding the spring back which then impinges on the striker causing the explosion that propels the bullet. The sear was preventing the spring and its absence sends the bullet on its way. </w:t>
      </w:r>
      <w:r w:rsidR="00C379A2">
        <w:t>So</w:t>
      </w:r>
      <w:r w:rsidR="00EF20F1">
        <w:t>,</w:t>
      </w:r>
      <w:r w:rsidR="00C379A2">
        <w:t xml:space="preserve"> withdrawing life support doesn’t involve a billiard ball</w:t>
      </w:r>
      <w:r w:rsidR="00CC5B28">
        <w:t>-</w:t>
      </w:r>
      <w:r w:rsidR="00C379A2">
        <w:t xml:space="preserve">like energy transfer from pulling the plug to </w:t>
      </w:r>
      <w:r w:rsidR="00C379A2">
        <w:lastRenderedPageBreak/>
        <w:t xml:space="preserve">brain death but will involve absences. </w:t>
      </w:r>
      <w:r>
        <w:t>Once disconnections undermine the physical connection model based upon persistence, there is more room for omissions to be considered causes.</w:t>
      </w:r>
    </w:p>
    <w:p w:rsidR="00543584" w:rsidRDefault="00DB0FCD" w:rsidP="00E83925">
      <w:pPr>
        <w:spacing w:after="0" w:line="480" w:lineRule="auto"/>
        <w:ind w:firstLine="720"/>
      </w:pPr>
      <w:r>
        <w:rPr>
          <w:rFonts w:cs="AdvTmath1"/>
        </w:rPr>
        <w:t xml:space="preserve">Perhaps </w:t>
      </w:r>
      <w:r w:rsidR="00982D6B">
        <w:rPr>
          <w:rFonts w:cs="AdvTmath1"/>
        </w:rPr>
        <w:t xml:space="preserve">the best theory of </w:t>
      </w:r>
      <w:r>
        <w:rPr>
          <w:rFonts w:cs="AdvTmath1"/>
        </w:rPr>
        <w:t>causation will rule out omission</w:t>
      </w:r>
      <w:r w:rsidR="001E79A5">
        <w:rPr>
          <w:rFonts w:cs="AdvTmath1"/>
        </w:rPr>
        <w:t>s</w:t>
      </w:r>
      <w:r w:rsidR="00936502">
        <w:rPr>
          <w:rFonts w:cs="AdvTmath1"/>
        </w:rPr>
        <w:t>,</w:t>
      </w:r>
      <w:r>
        <w:rPr>
          <w:rFonts w:cs="AdvTmath1"/>
        </w:rPr>
        <w:t xml:space="preserve"> but I suspect that it will not distinguish withdrawals where different people pull out a tube</w:t>
      </w:r>
      <w:r w:rsidR="006C6091">
        <w:rPr>
          <w:rFonts w:cs="AdvTmath1"/>
        </w:rPr>
        <w:t>, some killing, some letting die</w:t>
      </w:r>
      <w:r w:rsidR="00936502">
        <w:rPr>
          <w:rFonts w:cs="AdvTmath1"/>
        </w:rPr>
        <w:t>.</w:t>
      </w:r>
      <w:r w:rsidR="00520FD5">
        <w:rPr>
          <w:rStyle w:val="FootnoteReference"/>
          <w:rFonts w:cs="AdvTmath1"/>
        </w:rPr>
        <w:footnoteReference w:id="5"/>
      </w:r>
      <w:r w:rsidR="006C316F" w:rsidRPr="006C316F">
        <w:rPr>
          <w:rFonts w:cs="AdvTmath1"/>
        </w:rPr>
        <w:t xml:space="preserve"> </w:t>
      </w:r>
      <w:r w:rsidR="00936502">
        <w:rPr>
          <w:rFonts w:cs="AdvTmath1"/>
        </w:rPr>
        <w:t>I</w:t>
      </w:r>
      <w:r w:rsidR="006C316F">
        <w:rPr>
          <w:rFonts w:cs="AdvTmath1"/>
        </w:rPr>
        <w:t xml:space="preserve">t </w:t>
      </w:r>
      <w:r w:rsidR="00BB7D19">
        <w:rPr>
          <w:rFonts w:cs="AdvTmath1"/>
        </w:rPr>
        <w:t xml:space="preserve">is </w:t>
      </w:r>
      <w:r w:rsidR="006C316F">
        <w:rPr>
          <w:rFonts w:cs="AdvTmath1"/>
        </w:rPr>
        <w:t xml:space="preserve">best not to let the debate hinge on contentious accounts of causation and so we should try to characterize killing and letting die without </w:t>
      </w:r>
      <w:r w:rsidR="001B4527">
        <w:rPr>
          <w:rFonts w:cs="AdvTmath1"/>
        </w:rPr>
        <w:t xml:space="preserve">trying to </w:t>
      </w:r>
      <w:r w:rsidR="006C316F">
        <w:rPr>
          <w:rFonts w:cs="AdvTmath1"/>
        </w:rPr>
        <w:t>settl</w:t>
      </w:r>
      <w:r w:rsidR="001B4527">
        <w:rPr>
          <w:rFonts w:cs="AdvTmath1"/>
        </w:rPr>
        <w:t xml:space="preserve">e or rely upon other </w:t>
      </w:r>
      <w:r w:rsidR="006C6091">
        <w:rPr>
          <w:rFonts w:cs="AdvTmath1"/>
        </w:rPr>
        <w:t xml:space="preserve">controversial </w:t>
      </w:r>
      <w:r w:rsidR="001B4527">
        <w:rPr>
          <w:rFonts w:cs="AdvTmath1"/>
        </w:rPr>
        <w:t xml:space="preserve">theories of </w:t>
      </w:r>
      <w:r w:rsidR="006C316F">
        <w:rPr>
          <w:rFonts w:cs="AdvTmath1"/>
        </w:rPr>
        <w:t>causation.</w:t>
      </w:r>
      <w:r>
        <w:rPr>
          <w:rFonts w:cs="AdvTmath1"/>
        </w:rPr>
        <w:t xml:space="preserve"> </w:t>
      </w:r>
      <w:r w:rsidR="00982D6B">
        <w:rPr>
          <w:rFonts w:cs="AdvTmath1"/>
        </w:rPr>
        <w:t xml:space="preserve">We </w:t>
      </w:r>
      <w:r w:rsidR="00CC5B28">
        <w:rPr>
          <w:rFonts w:cs="AdvTmath1"/>
        </w:rPr>
        <w:t xml:space="preserve">should engage in the process of </w:t>
      </w:r>
      <w:r>
        <w:rPr>
          <w:rFonts w:cs="AdvTmath1"/>
        </w:rPr>
        <w:t>reflective equilibrium</w:t>
      </w:r>
      <w:r w:rsidR="00CC5B28">
        <w:rPr>
          <w:rFonts w:cs="AdvTmath1"/>
        </w:rPr>
        <w:t xml:space="preserve"> </w:t>
      </w:r>
      <w:r>
        <w:rPr>
          <w:rFonts w:cs="AdvTmath1"/>
        </w:rPr>
        <w:t xml:space="preserve">and claim </w:t>
      </w:r>
      <w:r w:rsidR="006C6091">
        <w:rPr>
          <w:rFonts w:cs="AdvTmath1"/>
        </w:rPr>
        <w:t xml:space="preserve">that </w:t>
      </w:r>
      <w:r w:rsidR="00CC5B28">
        <w:rPr>
          <w:rFonts w:cs="AdvTmath1"/>
        </w:rPr>
        <w:t xml:space="preserve">one account </w:t>
      </w:r>
      <w:r>
        <w:rPr>
          <w:rFonts w:cs="AdvTmath1"/>
        </w:rPr>
        <w:t>makes better sense of our intuitive responses to cases (McMahan</w:t>
      </w:r>
      <w:r w:rsidR="00AE1ACB">
        <w:rPr>
          <w:rFonts w:cs="AdvTmath1"/>
        </w:rPr>
        <w:t xml:space="preserve"> 1993</w:t>
      </w:r>
      <w:r>
        <w:rPr>
          <w:rFonts w:cs="AdvTmath1"/>
        </w:rPr>
        <w:t>).</w:t>
      </w:r>
      <w:r w:rsidR="00936502">
        <w:rPr>
          <w:rStyle w:val="FootnoteReference"/>
          <w:rFonts w:cs="AdvTmath1"/>
        </w:rPr>
        <w:footnoteReference w:id="6"/>
      </w:r>
      <w:r w:rsidR="00936502">
        <w:rPr>
          <w:rFonts w:cs="AdvTmath1"/>
        </w:rPr>
        <w:t xml:space="preserve"> </w:t>
      </w:r>
      <w:r w:rsidR="005B17D9">
        <w:rPr>
          <w:rFonts w:cs="AdvTmath1"/>
        </w:rPr>
        <w:t xml:space="preserve">McMahan offers a </w:t>
      </w:r>
      <w:r w:rsidR="00617638">
        <w:rPr>
          <w:rFonts w:cs="AdvTmath1"/>
        </w:rPr>
        <w:t xml:space="preserve">virtuoso </w:t>
      </w:r>
      <w:r w:rsidR="005B17D9">
        <w:rPr>
          <w:rFonts w:cs="AdvTmath1"/>
        </w:rPr>
        <w:t xml:space="preserve">investigation of case after case in which people </w:t>
      </w:r>
      <w:r w:rsidR="00617638">
        <w:rPr>
          <w:rFonts w:cs="AdvTmath1"/>
        </w:rPr>
        <w:t>are</w:t>
      </w:r>
      <w:r w:rsidR="005B17D9">
        <w:rPr>
          <w:rFonts w:cs="AdvTmath1"/>
        </w:rPr>
        <w:t xml:space="preserve"> in different stages of providing aid and they or others </w:t>
      </w:r>
      <w:r w:rsidR="00617638">
        <w:rPr>
          <w:rFonts w:cs="AdvTmath1"/>
        </w:rPr>
        <w:t xml:space="preserve">then </w:t>
      </w:r>
      <w:r w:rsidR="005B17D9">
        <w:rPr>
          <w:rFonts w:cs="AdvTmath1"/>
        </w:rPr>
        <w:t>withdr</w:t>
      </w:r>
      <w:r w:rsidR="00617638">
        <w:rPr>
          <w:rFonts w:cs="AdvTmath1"/>
        </w:rPr>
        <w:t>aw</w:t>
      </w:r>
      <w:r w:rsidR="005B17D9">
        <w:rPr>
          <w:rFonts w:cs="AdvTmath1"/>
        </w:rPr>
        <w:t xml:space="preserve"> it. </w:t>
      </w:r>
      <w:r w:rsidR="00543584">
        <w:rPr>
          <w:rFonts w:cs="AdvTmath1"/>
        </w:rPr>
        <w:t xml:space="preserve">1) </w:t>
      </w:r>
      <w:r w:rsidR="005B17D9">
        <w:t xml:space="preserve">If a lifeguard is in the water rescuing a drowning person whose struggles then threaten the rescuer, the lifeguard’s release of that person is not a killing but a death allowing. But it would be a killing if someone else uninvolved in the rescue </w:t>
      </w:r>
      <w:r w:rsidR="002760EA">
        <w:t>pushed the man off the lifeguard and back into the water.</w:t>
      </w:r>
      <w:r w:rsidR="005B17D9">
        <w:t xml:space="preserve"> </w:t>
      </w:r>
      <w:r w:rsidR="00543584">
        <w:t xml:space="preserve">2) </w:t>
      </w:r>
      <w:r w:rsidR="005B17D9">
        <w:t xml:space="preserve">If fatigue causes the Dutch boy to remove his finger in the dike holding back the flood, he </w:t>
      </w:r>
      <w:r w:rsidR="00617638">
        <w:t>does</w:t>
      </w:r>
      <w:r w:rsidR="005B17D9">
        <w:t xml:space="preserve"> not kill the villagers but let</w:t>
      </w:r>
      <w:r w:rsidR="00617638">
        <w:t>s</w:t>
      </w:r>
      <w:r w:rsidR="005B17D9">
        <w:t xml:space="preserve"> them die.</w:t>
      </w:r>
      <w:r w:rsidR="00543584">
        <w:rPr>
          <w:rStyle w:val="FootnoteReference"/>
        </w:rPr>
        <w:footnoteReference w:id="7"/>
      </w:r>
      <w:r w:rsidR="00E728F7">
        <w:t xml:space="preserve"> However, i</w:t>
      </w:r>
      <w:r w:rsidR="002760EA">
        <w:t xml:space="preserve">f the boy’s angry father pulls his son away from the dike, the father </w:t>
      </w:r>
      <w:r w:rsidR="00617638">
        <w:t xml:space="preserve">unleashes the flood and kills its </w:t>
      </w:r>
      <w:r w:rsidR="002760EA">
        <w:t xml:space="preserve">victims. </w:t>
      </w:r>
      <w:r w:rsidR="00543584">
        <w:t xml:space="preserve">3) </w:t>
      </w:r>
      <w:r w:rsidR="005B17D9">
        <w:t xml:space="preserve">If the fireman holding a net under a jumper </w:t>
      </w:r>
      <w:r w:rsidR="00617638">
        <w:t xml:space="preserve">hurtling towards the ground </w:t>
      </w:r>
      <w:r w:rsidR="005B17D9">
        <w:t xml:space="preserve">realizes the net can save two nearby </w:t>
      </w:r>
      <w:r w:rsidR="00617638">
        <w:t xml:space="preserve">airborne </w:t>
      </w:r>
      <w:r w:rsidR="005B17D9">
        <w:t>jumpers, he has not killed the first jumper but lets him die</w:t>
      </w:r>
      <w:r w:rsidR="006F6CC9">
        <w:t>.</w:t>
      </w:r>
      <w:r w:rsidR="005B17D9">
        <w:t xml:space="preserve"> </w:t>
      </w:r>
      <w:r w:rsidR="00E728F7">
        <w:t>But i</w:t>
      </w:r>
      <w:r w:rsidR="002760EA">
        <w:t xml:space="preserve">f someone uninvolved with fire-fighting force </w:t>
      </w:r>
      <w:r w:rsidR="0032227F">
        <w:t>remove</w:t>
      </w:r>
      <w:r w:rsidR="00617638">
        <w:t>s</w:t>
      </w:r>
      <w:r w:rsidR="0032227F">
        <w:t xml:space="preserve"> the net, it </w:t>
      </w:r>
      <w:r w:rsidR="00617638">
        <w:t xml:space="preserve">is </w:t>
      </w:r>
      <w:r w:rsidR="0032227F">
        <w:t>a killing</w:t>
      </w:r>
      <w:r w:rsidR="006F6CC9">
        <w:t xml:space="preserve">. If the reader disconnects the violinist, that is a case </w:t>
      </w:r>
      <w:r w:rsidR="006F6CC9">
        <w:lastRenderedPageBreak/>
        <w:t xml:space="preserve">of letting someone die. </w:t>
      </w:r>
      <w:r w:rsidR="00543584">
        <w:t xml:space="preserve">4) </w:t>
      </w:r>
      <w:r w:rsidR="006F6CC9">
        <w:t>McMahan observes that if a patient’s enemy removes him from life support that is a killing. I would add that if a member of the hospital team operating and maintaining the machinery sustaining the violinist remove</w:t>
      </w:r>
      <w:r w:rsidR="00F04874">
        <w:t>s</w:t>
      </w:r>
      <w:r w:rsidR="006F6CC9">
        <w:t xml:space="preserve"> that support, it would be a case of letting die, though </w:t>
      </w:r>
      <w:r w:rsidR="00636BBC">
        <w:t xml:space="preserve">certainly </w:t>
      </w:r>
      <w:r w:rsidR="006F6CC9">
        <w:t xml:space="preserve">an unjustified </w:t>
      </w:r>
      <w:r w:rsidR="00636BBC">
        <w:t>act if the reader and violinist didn’t seek the disconne</w:t>
      </w:r>
      <w:r w:rsidR="006031AA">
        <w:t>c</w:t>
      </w:r>
      <w:r w:rsidR="00636BBC">
        <w:t>tion.</w:t>
      </w:r>
      <w:r w:rsidR="0032227F">
        <w:t xml:space="preserve"> </w:t>
      </w:r>
    </w:p>
    <w:p w:rsidR="002213B2" w:rsidRPr="0093269C" w:rsidRDefault="005B17D9" w:rsidP="00E83925">
      <w:pPr>
        <w:spacing w:after="0" w:line="480" w:lineRule="auto"/>
        <w:ind w:firstLine="720"/>
        <w:rPr>
          <w:rFonts w:cs="AdvTmath1"/>
        </w:rPr>
      </w:pPr>
      <w:r>
        <w:t>The</w:t>
      </w:r>
      <w:r w:rsidR="00617638">
        <w:t xml:space="preserve"> first of each </w:t>
      </w:r>
      <w:r w:rsidR="00636BBC">
        <w:t xml:space="preserve">of McMahan’s </w:t>
      </w:r>
      <w:r w:rsidR="00617638">
        <w:t>pair</w:t>
      </w:r>
      <w:r w:rsidR="00636BBC">
        <w:t>s</w:t>
      </w:r>
      <w:r w:rsidR="00617638">
        <w:t xml:space="preserve"> </w:t>
      </w:r>
      <w:r>
        <w:t xml:space="preserve">are all actions of withdrawing aid that cause death but appear to be appropriately classified as cases of letting some die. What </w:t>
      </w:r>
      <w:r w:rsidR="0032227F">
        <w:t>the</w:t>
      </w:r>
      <w:r w:rsidR="00617638">
        <w:t>y</w:t>
      </w:r>
      <w:r w:rsidR="0032227F">
        <w:t xml:space="preserve"> </w:t>
      </w:r>
      <w:r>
        <w:t xml:space="preserve">have in common is that the assistance withdrawn </w:t>
      </w:r>
      <w:r w:rsidR="00617638">
        <w:t xml:space="preserve">is </w:t>
      </w:r>
      <w:r>
        <w:t>being provided at the time by the person who withdr</w:t>
      </w:r>
      <w:r w:rsidR="00617638">
        <w:t>a</w:t>
      </w:r>
      <w:r>
        <w:t>w</w:t>
      </w:r>
      <w:r w:rsidR="00617638">
        <w:t xml:space="preserve">s </w:t>
      </w:r>
      <w:r>
        <w:t xml:space="preserve">it. </w:t>
      </w:r>
      <w:r w:rsidR="00DB0FCD">
        <w:rPr>
          <w:rFonts w:cs="AdvTmath1"/>
        </w:rPr>
        <w:t xml:space="preserve">If </w:t>
      </w:r>
      <w:r w:rsidR="0093269C">
        <w:rPr>
          <w:rFonts w:cs="AdvTmath1"/>
        </w:rPr>
        <w:t>readers</w:t>
      </w:r>
      <w:r w:rsidR="00DB0FCD">
        <w:rPr>
          <w:rFonts w:cs="AdvTmath1"/>
        </w:rPr>
        <w:t xml:space="preserve"> </w:t>
      </w:r>
      <w:r w:rsidR="00EF20F1">
        <w:rPr>
          <w:rFonts w:cs="AdvTmath1"/>
        </w:rPr>
        <w:t xml:space="preserve">are persuaded by McMahan’s analysis of cases, as I mostly am, we will </w:t>
      </w:r>
      <w:r w:rsidR="00DB0FCD">
        <w:rPr>
          <w:rFonts w:cs="AdvTmath1"/>
        </w:rPr>
        <w:t xml:space="preserve">understand letting die as </w:t>
      </w:r>
      <w:r w:rsidR="00EF20F1">
        <w:rPr>
          <w:rFonts w:cs="AdvTmath1"/>
        </w:rPr>
        <w:t xml:space="preserve">roughly </w:t>
      </w:r>
      <w:r w:rsidR="00DB0FCD">
        <w:rPr>
          <w:rFonts w:cs="AdvTmath1"/>
        </w:rPr>
        <w:t xml:space="preserve">not providing the support needed to keep someone alive, </w:t>
      </w:r>
      <w:r w:rsidR="00EF20F1">
        <w:rPr>
          <w:rFonts w:cs="AdvTmath1"/>
        </w:rPr>
        <w:t xml:space="preserve">which will </w:t>
      </w:r>
      <w:r w:rsidR="00DB0FCD">
        <w:rPr>
          <w:rFonts w:cs="AdvTmath1"/>
        </w:rPr>
        <w:t>include both omissions and withdrawals.</w:t>
      </w:r>
      <w:r w:rsidR="006F6CC9">
        <w:rPr>
          <w:rFonts w:cs="AdvTmath1"/>
        </w:rPr>
        <w:t xml:space="preserve"> </w:t>
      </w:r>
      <w:r w:rsidR="001B4527">
        <w:rPr>
          <w:rFonts w:cs="AdvTmath1"/>
        </w:rPr>
        <w:t xml:space="preserve">It doesn’t matter for our purposes whether </w:t>
      </w:r>
      <w:r w:rsidR="0032227F">
        <w:rPr>
          <w:rFonts w:cs="AdvTmath1"/>
        </w:rPr>
        <w:t xml:space="preserve">omissions are </w:t>
      </w:r>
      <w:r w:rsidR="001B4527">
        <w:rPr>
          <w:rFonts w:cs="AdvTmath1"/>
        </w:rPr>
        <w:t xml:space="preserve">properly construed as </w:t>
      </w:r>
      <w:r w:rsidR="000C0C00">
        <w:rPr>
          <w:rFonts w:cs="AdvTmath1"/>
        </w:rPr>
        <w:t xml:space="preserve">involving </w:t>
      </w:r>
      <w:r w:rsidR="001B4527">
        <w:rPr>
          <w:rFonts w:cs="AdvTmath1"/>
        </w:rPr>
        <w:t xml:space="preserve">causation or not. </w:t>
      </w:r>
      <w:r w:rsidR="0032227F">
        <w:rPr>
          <w:rFonts w:cs="AdvTmath1"/>
        </w:rPr>
        <w:t xml:space="preserve">Nor is it important that there doesn’t seem to be a causal difference between withdrawals that kill and let die. What does matter is that only </w:t>
      </w:r>
      <w:r w:rsidR="00902908">
        <w:rPr>
          <w:rFonts w:cs="AdvTmath1"/>
        </w:rPr>
        <w:t xml:space="preserve">those providing the aid can be said to cease preventing a death or discontinuing life support even though their hand movements are identical to those </w:t>
      </w:r>
      <w:r w:rsidR="000C0C00">
        <w:rPr>
          <w:rFonts w:cs="AdvTmath1"/>
        </w:rPr>
        <w:t xml:space="preserve">of </w:t>
      </w:r>
      <w:r w:rsidR="00902908">
        <w:rPr>
          <w:rFonts w:cs="AdvTmath1"/>
        </w:rPr>
        <w:t>interlopers</w:t>
      </w:r>
      <w:r w:rsidR="00EF20F1">
        <w:rPr>
          <w:rFonts w:cs="AdvTmath1"/>
        </w:rPr>
        <w:t xml:space="preserve"> who withdraw support they didn’t provide</w:t>
      </w:r>
      <w:r w:rsidR="006C316F">
        <w:rPr>
          <w:rFonts w:cs="AdvTmath1"/>
        </w:rPr>
        <w:t>.</w:t>
      </w:r>
      <w:r w:rsidR="00C60327">
        <w:rPr>
          <w:rStyle w:val="FootnoteReference"/>
          <w:rFonts w:cs="AdvTmath1"/>
        </w:rPr>
        <w:footnoteReference w:id="8"/>
      </w:r>
    </w:p>
    <w:p w:rsidR="007959C3" w:rsidRDefault="007959C3" w:rsidP="007959C3">
      <w:pPr>
        <w:autoSpaceDE w:val="0"/>
        <w:autoSpaceDN w:val="0"/>
        <w:adjustRightInd w:val="0"/>
        <w:spacing w:after="0" w:line="480" w:lineRule="auto"/>
        <w:jc w:val="center"/>
      </w:pPr>
      <w:r w:rsidRPr="007959C3">
        <w:rPr>
          <w:b/>
        </w:rPr>
        <w:t>B</w:t>
      </w:r>
      <w:r>
        <w:t>.</w:t>
      </w:r>
      <w:r w:rsidRPr="007959C3">
        <w:rPr>
          <w:b/>
        </w:rPr>
        <w:t xml:space="preserve"> </w:t>
      </w:r>
      <w:r>
        <w:rPr>
          <w:b/>
        </w:rPr>
        <w:t>Avoiding the Moralization of the Killing/Letting Die Distinction</w:t>
      </w:r>
    </w:p>
    <w:p w:rsidR="00146DFB" w:rsidRDefault="002213B2" w:rsidP="00E83925">
      <w:pPr>
        <w:autoSpaceDE w:val="0"/>
        <w:autoSpaceDN w:val="0"/>
        <w:adjustRightInd w:val="0"/>
        <w:spacing w:after="0" w:line="480" w:lineRule="auto"/>
        <w:ind w:firstLine="720"/>
      </w:pPr>
      <w:r>
        <w:t xml:space="preserve">My undergraduate </w:t>
      </w:r>
      <w:r w:rsidR="00C60327">
        <w:t xml:space="preserve">bioethics </w:t>
      </w:r>
      <w:r w:rsidR="00D96359">
        <w:t>students moralize</w:t>
      </w:r>
      <w:r>
        <w:t xml:space="preserve"> the classi</w:t>
      </w:r>
      <w:r w:rsidR="00752887">
        <w:t>fi</w:t>
      </w:r>
      <w:r>
        <w:t>cation</w:t>
      </w:r>
      <w:r w:rsidR="001B4527">
        <w:t xml:space="preserve"> of events as instances of killing and letting die</w:t>
      </w:r>
      <w:r w:rsidR="00982D6B">
        <w:t xml:space="preserve">. </w:t>
      </w:r>
      <w:r>
        <w:t xml:space="preserve">If the motives </w:t>
      </w:r>
      <w:r w:rsidR="00C60327">
        <w:t>of the person who withdr</w:t>
      </w:r>
      <w:r w:rsidR="00A2228A">
        <w:t>a</w:t>
      </w:r>
      <w:r w:rsidR="00C60327">
        <w:t>w</w:t>
      </w:r>
      <w:r w:rsidR="008A7D08">
        <w:t>s</w:t>
      </w:r>
      <w:r w:rsidR="00C60327">
        <w:t xml:space="preserve"> the aid </w:t>
      </w:r>
      <w:r w:rsidR="00A2228A">
        <w:t>are</w:t>
      </w:r>
      <w:r>
        <w:t xml:space="preserve"> good</w:t>
      </w:r>
      <w:r w:rsidR="00936502">
        <w:t xml:space="preserve"> or the patient wants to die</w:t>
      </w:r>
      <w:r>
        <w:t xml:space="preserve">, </w:t>
      </w:r>
      <w:r w:rsidR="00C60327">
        <w:t xml:space="preserve">students </w:t>
      </w:r>
      <w:r w:rsidR="00752887">
        <w:t xml:space="preserve">tend to treat the case as letting die. If </w:t>
      </w:r>
      <w:r w:rsidR="00C60327">
        <w:t xml:space="preserve">the motives </w:t>
      </w:r>
      <w:r w:rsidR="008571FB">
        <w:t>are</w:t>
      </w:r>
      <w:r w:rsidR="00C60327">
        <w:t xml:space="preserve"> </w:t>
      </w:r>
      <w:r w:rsidR="00752887">
        <w:t>bad</w:t>
      </w:r>
      <w:r w:rsidR="00936502">
        <w:t xml:space="preserve"> or the patient didn’t want to die</w:t>
      </w:r>
      <w:r w:rsidR="00752887">
        <w:t xml:space="preserve">, then they classify the withdrawal as a killing. My anecdotal evidence is supported by a </w:t>
      </w:r>
      <w:r w:rsidR="00752887">
        <w:lastRenderedPageBreak/>
        <w:t>study of both laypeople and medical students and professionals</w:t>
      </w:r>
      <w:r w:rsidR="008571FB">
        <w:t xml:space="preserve"> </w:t>
      </w:r>
      <w:r w:rsidR="00936502">
        <w:t xml:space="preserve">that found </w:t>
      </w:r>
      <w:r w:rsidR="000F5794">
        <w:t>both withdrawals of aid and omissions to provide aid are considered killings if patients want the aid</w:t>
      </w:r>
      <w:r w:rsidR="00936502">
        <w:t xml:space="preserve">. </w:t>
      </w:r>
      <w:r w:rsidR="008571FB">
        <w:t>(</w:t>
      </w:r>
      <w:r w:rsidR="008571FB" w:rsidRPr="00FB7682">
        <w:rPr>
          <w:rFonts w:cs="Lato-Bold"/>
          <w:bCs/>
        </w:rPr>
        <w:t>Rodríguez</w:t>
      </w:r>
      <w:r w:rsidR="008571FB">
        <w:rPr>
          <w:rFonts w:cs="Lato-Bold"/>
          <w:bCs/>
        </w:rPr>
        <w:t xml:space="preserve"> et al: 2009)</w:t>
      </w:r>
      <w:r w:rsidR="00752887">
        <w:t>.</w:t>
      </w:r>
      <w:r w:rsidR="0009545B">
        <w:rPr>
          <w:rStyle w:val="FootnoteReference"/>
        </w:rPr>
        <w:footnoteReference w:id="9"/>
      </w:r>
      <w:r w:rsidR="0009545B">
        <w:t xml:space="preserve"> </w:t>
      </w:r>
      <w:r w:rsidR="00752887">
        <w:t xml:space="preserve"> </w:t>
      </w:r>
    </w:p>
    <w:p w:rsidR="00EA5AEF" w:rsidRDefault="00597207" w:rsidP="00E83925">
      <w:pPr>
        <w:autoSpaceDE w:val="0"/>
        <w:autoSpaceDN w:val="0"/>
        <w:adjustRightInd w:val="0"/>
        <w:spacing w:after="0" w:line="480" w:lineRule="auto"/>
        <w:ind w:firstLine="720"/>
      </w:pPr>
      <w:r>
        <w:t xml:space="preserve">It is </w:t>
      </w:r>
      <w:r w:rsidR="000F5794">
        <w:t>no surprise</w:t>
      </w:r>
      <w:r>
        <w:t xml:space="preserve"> that morality </w:t>
      </w:r>
      <w:r w:rsidR="0096495C">
        <w:t xml:space="preserve">influences people’s </w:t>
      </w:r>
      <w:r>
        <w:t xml:space="preserve">taxonomy as killings are typically worse than letting someone die and so greater condemnation </w:t>
      </w:r>
      <w:r w:rsidR="000F5794">
        <w:t xml:space="preserve">is connoted by </w:t>
      </w:r>
      <w:r>
        <w:t xml:space="preserve">the label “killing.” But this </w:t>
      </w:r>
      <w:r w:rsidR="00D662EF">
        <w:t>condemnation</w:t>
      </w:r>
      <w:r>
        <w:t xml:space="preserve"> can be accommodated by an </w:t>
      </w:r>
      <w:r w:rsidRPr="0096495C">
        <w:rPr>
          <w:i/>
        </w:rPr>
        <w:t>adjectival approach</w:t>
      </w:r>
      <w:r w:rsidR="00D662EF">
        <w:t xml:space="preserve"> without the downsides of the moralizing approach</w:t>
      </w:r>
      <w:r>
        <w:t xml:space="preserve">. </w:t>
      </w:r>
      <w:r w:rsidR="00D662EF">
        <w:t xml:space="preserve">Killing </w:t>
      </w:r>
      <w:r w:rsidR="005F722A">
        <w:t xml:space="preserve">and letting die are </w:t>
      </w:r>
      <w:r w:rsidR="00D662EF">
        <w:t xml:space="preserve">defined </w:t>
      </w:r>
      <w:r w:rsidR="00104EB0">
        <w:t>non-</w:t>
      </w:r>
      <w:r w:rsidR="00E821C9">
        <w:t xml:space="preserve">morally </w:t>
      </w:r>
      <w:r w:rsidR="005F722A">
        <w:t>and then qualified as just and unjust, intentional and unintentional etc.</w:t>
      </w:r>
      <w:r w:rsidR="005F722A" w:rsidRPr="005F722A">
        <w:t xml:space="preserve"> </w:t>
      </w:r>
      <w:r w:rsidR="005F722A">
        <w:t xml:space="preserve">There will be </w:t>
      </w:r>
      <w:r w:rsidR="001D04E8">
        <w:t>unjust</w:t>
      </w:r>
      <w:r w:rsidR="008211A0">
        <w:t xml:space="preserve"> and just, intended and unintended, foreseen and unforeseen cases of letting die and killing</w:t>
      </w:r>
      <w:r w:rsidR="007A2650">
        <w:t>. T</w:t>
      </w:r>
      <w:r w:rsidR="0036503B">
        <w:t xml:space="preserve">he </w:t>
      </w:r>
      <w:r w:rsidR="0009138C">
        <w:t xml:space="preserve">Christian </w:t>
      </w:r>
      <w:r w:rsidR="0036503B">
        <w:t>tradition already qualifies</w:t>
      </w:r>
      <w:r w:rsidR="001D04E8">
        <w:t xml:space="preserve"> killing, holding that</w:t>
      </w:r>
      <w:r w:rsidR="008211A0">
        <w:t xml:space="preserve"> </w:t>
      </w:r>
      <w:r w:rsidR="001D04E8">
        <w:rPr>
          <w:i/>
        </w:rPr>
        <w:t>“</w:t>
      </w:r>
      <w:r w:rsidR="0036503B" w:rsidRPr="006E46C6">
        <w:rPr>
          <w:i/>
        </w:rPr>
        <w:t>direct</w:t>
      </w:r>
      <w:r w:rsidR="0036503B" w:rsidRPr="006E46C6">
        <w:t xml:space="preserve"> and </w:t>
      </w:r>
      <w:r w:rsidR="0036503B" w:rsidRPr="006E46C6">
        <w:rPr>
          <w:i/>
        </w:rPr>
        <w:t>voluntary</w:t>
      </w:r>
      <w:r w:rsidR="0036503B" w:rsidRPr="006E46C6">
        <w:t xml:space="preserve"> killing of an innocent human being is always gravely immoral</w:t>
      </w:r>
      <w:r w:rsidR="001D04E8">
        <w:t>”</w:t>
      </w:r>
      <w:r w:rsidR="0036503B" w:rsidRPr="006E46C6">
        <w:t xml:space="preserve"> </w:t>
      </w:r>
      <w:r w:rsidR="000F5794">
        <w:t>(</w:t>
      </w:r>
      <w:r w:rsidR="000E5F77">
        <w:t>Lumen Gentium</w:t>
      </w:r>
      <w:r w:rsidR="000F5794">
        <w:t>).</w:t>
      </w:r>
    </w:p>
    <w:p w:rsidR="0096495C" w:rsidRDefault="00104EB0" w:rsidP="00E83925">
      <w:pPr>
        <w:autoSpaceDE w:val="0"/>
        <w:autoSpaceDN w:val="0"/>
        <w:adjustRightInd w:val="0"/>
        <w:spacing w:after="0" w:line="480" w:lineRule="auto"/>
        <w:ind w:firstLine="720"/>
      </w:pPr>
      <w:r>
        <w:t xml:space="preserve">The purely descriptive account of killing and letting die has an </w:t>
      </w:r>
      <w:r w:rsidR="005F722A">
        <w:t xml:space="preserve">analogue </w:t>
      </w:r>
      <w:r>
        <w:t xml:space="preserve">in </w:t>
      </w:r>
      <w:r w:rsidR="005F722A">
        <w:t>the normativist/naturalist debate</w:t>
      </w:r>
      <w:r w:rsidR="00AC1E89">
        <w:t xml:space="preserve"> in the philosophy of medicine</w:t>
      </w:r>
      <w:r w:rsidR="005F722A">
        <w:t xml:space="preserve"> in </w:t>
      </w:r>
      <w:r w:rsidR="0096495C">
        <w:t xml:space="preserve">which </w:t>
      </w:r>
      <w:r w:rsidR="00AC1E89">
        <w:t xml:space="preserve">scholars </w:t>
      </w:r>
      <w:r w:rsidR="0096495C">
        <w:t>debate whether disease is value</w:t>
      </w:r>
      <w:r w:rsidR="000F5794">
        <w:t>-</w:t>
      </w:r>
      <w:r w:rsidR="0096495C">
        <w:t xml:space="preserve">free or not. </w:t>
      </w:r>
      <w:r w:rsidR="00936502" w:rsidRPr="00936502">
        <w:t xml:space="preserve">Philosophers of medicine who identify themselves as </w:t>
      </w:r>
      <w:proofErr w:type="spellStart"/>
      <w:r w:rsidR="000F5794">
        <w:t>normativists</w:t>
      </w:r>
      <w:proofErr w:type="spellEnd"/>
      <w:r w:rsidR="000F5794">
        <w:t xml:space="preserve"> </w:t>
      </w:r>
      <w:r w:rsidR="00936502" w:rsidRPr="00936502">
        <w:t xml:space="preserve">believe that diseases “must involve some form of </w:t>
      </w:r>
      <w:proofErr w:type="spellStart"/>
      <w:r w:rsidR="00936502" w:rsidRPr="00936502">
        <w:t>disavaluation</w:t>
      </w:r>
      <w:proofErr w:type="spellEnd"/>
      <w:r w:rsidR="00936502" w:rsidRPr="00936502">
        <w:t xml:space="preserve"> or call to action” </w:t>
      </w:r>
      <w:r w:rsidR="00936502">
        <w:t>(Kingma</w:t>
      </w:r>
      <w:r w:rsidR="00E728F7">
        <w:t>, 2014,</w:t>
      </w:r>
      <w:r w:rsidR="00936502" w:rsidRPr="00936502">
        <w:t xml:space="preserve"> 592</w:t>
      </w:r>
      <w:r w:rsidR="00B00359">
        <w:t>).</w:t>
      </w:r>
      <w:r w:rsidR="00936502" w:rsidRPr="00936502">
        <w:t xml:space="preserve"> </w:t>
      </w:r>
      <w:r w:rsidR="0096495C">
        <w:t xml:space="preserve">Naturalists </w:t>
      </w:r>
      <w:r w:rsidR="000F5794" w:rsidRPr="000F5794">
        <w:t>insist that determinations of disease do not depend upon judgements of value or well-being. Diseases may not always be bad and health m</w:t>
      </w:r>
      <w:r w:rsidR="00B00359">
        <w:t>a</w:t>
      </w:r>
      <w:r w:rsidR="000F5794" w:rsidRPr="000F5794">
        <w:t>y not always be welcome.</w:t>
      </w:r>
      <w:r w:rsidR="00F859D2">
        <w:t xml:space="preserve"> </w:t>
      </w:r>
      <w:r w:rsidR="000F5794">
        <w:t xml:space="preserve">They instead argue </w:t>
      </w:r>
      <w:r w:rsidR="0096495C">
        <w:t xml:space="preserve">for a </w:t>
      </w:r>
      <w:r w:rsidR="0096495C" w:rsidRPr="0096495C">
        <w:rPr>
          <w:i/>
        </w:rPr>
        <w:t>disease plus</w:t>
      </w:r>
      <w:r w:rsidR="0096495C">
        <w:t xml:space="preserve"> concep</w:t>
      </w:r>
      <w:r w:rsidR="001D04E8">
        <w:t>t (Boorse:</w:t>
      </w:r>
      <w:r w:rsidR="00936502">
        <w:t>100-101</w:t>
      </w:r>
      <w:r w:rsidR="001D04E8">
        <w:t>)</w:t>
      </w:r>
      <w:r w:rsidR="009733E9">
        <w:t xml:space="preserve"> which is an adjectival approach</w:t>
      </w:r>
      <w:r w:rsidR="001D04E8">
        <w:t>.</w:t>
      </w:r>
      <w:r w:rsidR="0096495C">
        <w:t xml:space="preserve"> There are treatable disease</w:t>
      </w:r>
      <w:r w:rsidR="007A2650">
        <w:t>s</w:t>
      </w:r>
      <w:r w:rsidR="0096495C">
        <w:t>, asymptomatic diseases, beneficial disease,</w:t>
      </w:r>
      <w:r w:rsidR="00F859D2" w:rsidRPr="00F859D2">
        <w:rPr>
          <w:rStyle w:val="FootnoteReference"/>
        </w:rPr>
        <w:t xml:space="preserve"> </w:t>
      </w:r>
      <w:r w:rsidR="00F859D2">
        <w:rPr>
          <w:rStyle w:val="FootnoteReference"/>
        </w:rPr>
        <w:footnoteReference w:id="10"/>
      </w:r>
      <w:r w:rsidR="00F859D2">
        <w:t xml:space="preserve"> </w:t>
      </w:r>
      <w:r w:rsidR="0096495C">
        <w:t>harmful diseases</w:t>
      </w:r>
      <w:r w:rsidR="007A2650">
        <w:t>,</w:t>
      </w:r>
      <w:r w:rsidR="0096495C">
        <w:t xml:space="preserve"> and so forth</w:t>
      </w:r>
      <w:r w:rsidR="001D04E8">
        <w:t>.</w:t>
      </w:r>
      <w:r w:rsidR="00265381">
        <w:t xml:space="preserve"> </w:t>
      </w:r>
      <w:r w:rsidR="001D04E8">
        <w:t>O</w:t>
      </w:r>
      <w:r w:rsidR="0096495C">
        <w:t xml:space="preserve">ne important </w:t>
      </w:r>
      <w:r w:rsidR="0096495C">
        <w:lastRenderedPageBreak/>
        <w:t xml:space="preserve">reason to doubt that disease depends upon </w:t>
      </w:r>
      <w:r w:rsidR="001D04E8">
        <w:t xml:space="preserve">normativity </w:t>
      </w:r>
      <w:r w:rsidR="0096495C">
        <w:t>is that plants can become diseased and they live mindlessly in a wor</w:t>
      </w:r>
      <w:r w:rsidR="00146DFB">
        <w:t>l</w:t>
      </w:r>
      <w:r w:rsidR="0096495C">
        <w:t>d without doctors</w:t>
      </w:r>
      <w:r w:rsidR="007A2650">
        <w:t xml:space="preserve">, treatments, </w:t>
      </w:r>
      <w:r w:rsidR="0096495C">
        <w:t>norms</w:t>
      </w:r>
      <w:r w:rsidR="007A2650">
        <w:t xml:space="preserve"> and </w:t>
      </w:r>
      <w:r w:rsidR="0093269C">
        <w:t>disvaluing</w:t>
      </w:r>
      <w:r w:rsidR="0096495C">
        <w:t>. They would have to</w:t>
      </w:r>
      <w:r w:rsidR="00571107">
        <w:t xml:space="preserve"> be</w:t>
      </w:r>
      <w:r w:rsidR="0096495C">
        <w:t xml:space="preserve"> excluded from </w:t>
      </w:r>
      <w:r w:rsidR="0093269C">
        <w:t xml:space="preserve">disease. Alternatively, </w:t>
      </w:r>
      <w:r w:rsidR="001D04E8">
        <w:t>“</w:t>
      </w:r>
      <w:r w:rsidR="0096495C">
        <w:t>disease</w:t>
      </w:r>
      <w:r w:rsidR="001D04E8">
        <w:t>”</w:t>
      </w:r>
      <w:r w:rsidR="0096495C">
        <w:t xml:space="preserve"> would be equivocal</w:t>
      </w:r>
      <w:r w:rsidR="001D04E8">
        <w:t>.</w:t>
      </w:r>
      <w:r w:rsidR="0036503B">
        <w:t xml:space="preserve"> </w:t>
      </w:r>
    </w:p>
    <w:p w:rsidR="00EC77AA" w:rsidRDefault="000F5794" w:rsidP="00E83925">
      <w:pPr>
        <w:autoSpaceDE w:val="0"/>
        <w:autoSpaceDN w:val="0"/>
        <w:adjustRightInd w:val="0"/>
        <w:spacing w:after="0" w:line="480" w:lineRule="auto"/>
        <w:ind w:firstLine="720"/>
        <w:rPr>
          <w:rFonts w:cs="ITCGaramondStd-Lt"/>
          <w:color w:val="000000"/>
        </w:rPr>
      </w:pPr>
      <w:r>
        <w:t>T</w:t>
      </w:r>
      <w:r w:rsidR="007A2650">
        <w:t xml:space="preserve">he </w:t>
      </w:r>
      <w:r w:rsidR="00104EB0">
        <w:t xml:space="preserve">mindless likewise </w:t>
      </w:r>
      <w:r w:rsidR="007A2650">
        <w:t>pose</w:t>
      </w:r>
      <w:r w:rsidR="00104EB0">
        <w:t xml:space="preserve"> a problem for moralizing the definition of </w:t>
      </w:r>
      <w:r w:rsidR="0096495C">
        <w:t>killing</w:t>
      </w:r>
      <w:r w:rsidR="0036503B">
        <w:t xml:space="preserve">. </w:t>
      </w:r>
      <w:r w:rsidR="00104EB0">
        <w:t>“</w:t>
      </w:r>
      <w:r w:rsidR="00F026C1">
        <w:t>Killing</w:t>
      </w:r>
      <w:r w:rsidR="00104EB0">
        <w:t>”</w:t>
      </w:r>
      <w:r w:rsidR="00F026C1">
        <w:t xml:space="preserve"> can’t be defined</w:t>
      </w:r>
      <w:r w:rsidR="006E46C6">
        <w:t xml:space="preserve"> as </w:t>
      </w:r>
      <w:r w:rsidR="00F026C1">
        <w:t xml:space="preserve">immoral </w:t>
      </w:r>
      <w:r w:rsidR="006E46C6">
        <w:t xml:space="preserve">or intentional or direct </w:t>
      </w:r>
      <w:r w:rsidR="00F026C1">
        <w:t xml:space="preserve">causing of death as </w:t>
      </w:r>
      <w:r w:rsidR="007A2650">
        <w:t xml:space="preserve">volcanoes and viruses </w:t>
      </w:r>
      <w:r w:rsidR="00EC77AA">
        <w:t xml:space="preserve">can kill but they can’t </w:t>
      </w:r>
      <w:r w:rsidR="006E46C6">
        <w:t xml:space="preserve">morally </w:t>
      </w:r>
      <w:r w:rsidR="00EC77AA">
        <w:t>wrong</w:t>
      </w:r>
      <w:r w:rsidR="006E46C6">
        <w:t xml:space="preserve"> anyone</w:t>
      </w:r>
      <w:r w:rsidR="006C508F">
        <w:t>.</w:t>
      </w:r>
      <w:r w:rsidR="006E46C6">
        <w:t xml:space="preserve"> Even minimally minded animals can kill without being moral agents. </w:t>
      </w:r>
      <w:r w:rsidR="000578CD">
        <w:t xml:space="preserve">Letting die differs from killing in that mental capacities are </w:t>
      </w:r>
      <w:r w:rsidR="00EC77AA">
        <w:rPr>
          <w:rFonts w:cs="ITCGaramondStd-Lt"/>
          <w:color w:val="000000"/>
        </w:rPr>
        <w:t xml:space="preserve">required </w:t>
      </w:r>
      <w:r w:rsidR="00A80BF4">
        <w:rPr>
          <w:rFonts w:cs="ITCGaramondStd-Lt"/>
          <w:color w:val="000000"/>
        </w:rPr>
        <w:t xml:space="preserve">for a creature </w:t>
      </w:r>
      <w:r w:rsidR="00EC77AA">
        <w:rPr>
          <w:rFonts w:cs="ITCGaramondStd-Lt"/>
          <w:color w:val="000000"/>
        </w:rPr>
        <w:t>to allow some</w:t>
      </w:r>
      <w:r w:rsidR="00A80BF4">
        <w:rPr>
          <w:rFonts w:cs="ITCGaramondStd-Lt"/>
          <w:color w:val="000000"/>
        </w:rPr>
        <w:t xml:space="preserve">thing </w:t>
      </w:r>
      <w:r w:rsidR="00EC77AA">
        <w:rPr>
          <w:rFonts w:cs="ITCGaramondStd-Lt"/>
          <w:color w:val="000000"/>
        </w:rPr>
        <w:t>to die. But moral agen</w:t>
      </w:r>
      <w:r w:rsidR="006E46C6">
        <w:rPr>
          <w:rFonts w:cs="ITCGaramondStd-Lt"/>
          <w:color w:val="000000"/>
        </w:rPr>
        <w:t xml:space="preserve">cy </w:t>
      </w:r>
      <w:r w:rsidR="000578CD">
        <w:rPr>
          <w:rFonts w:cs="ITCGaramondStd-Lt"/>
          <w:color w:val="000000"/>
        </w:rPr>
        <w:t>is</w:t>
      </w:r>
      <w:r w:rsidR="006E46C6">
        <w:rPr>
          <w:rFonts w:cs="ITCGaramondStd-Lt"/>
          <w:color w:val="000000"/>
        </w:rPr>
        <w:t xml:space="preserve"> not </w:t>
      </w:r>
      <w:r w:rsidR="00EC77AA">
        <w:rPr>
          <w:rFonts w:cs="ITCGaramondStd-Lt"/>
          <w:color w:val="000000"/>
        </w:rPr>
        <w:t>required</w:t>
      </w:r>
      <w:r w:rsidR="00841588">
        <w:rPr>
          <w:rFonts w:cs="ITCGaramondStd-Lt"/>
          <w:color w:val="000000"/>
        </w:rPr>
        <w:t>, just the capacity to choose to act and to appreciate that death could occur as a result</w:t>
      </w:r>
      <w:r w:rsidR="00EC77AA">
        <w:rPr>
          <w:rFonts w:cs="ITCGaramondStd-Lt"/>
          <w:color w:val="000000"/>
        </w:rPr>
        <w:t>.</w:t>
      </w:r>
      <w:r w:rsidR="00EC77AA" w:rsidRPr="007D5D5C">
        <w:rPr>
          <w:rFonts w:cs="ITCGaramondStd-Lt"/>
          <w:b/>
          <w:color w:val="000000"/>
        </w:rPr>
        <w:t xml:space="preserve"> </w:t>
      </w:r>
      <w:r w:rsidR="00EC77AA">
        <w:rPr>
          <w:rFonts w:cs="ITCGaramondStd-Lt"/>
          <w:color w:val="000000"/>
        </w:rPr>
        <w:t>Letting someone die doesn’t require wanting them to die</w:t>
      </w:r>
      <w:r w:rsidR="00571107">
        <w:rPr>
          <w:rFonts w:cs="ITCGaramondStd-Lt"/>
          <w:color w:val="000000"/>
        </w:rPr>
        <w:t>,</w:t>
      </w:r>
      <w:r w:rsidR="00EC77AA">
        <w:rPr>
          <w:rFonts w:cs="ITCGaramondStd-Lt"/>
          <w:color w:val="000000"/>
        </w:rPr>
        <w:t xml:space="preserve"> intending that they die</w:t>
      </w:r>
      <w:r w:rsidR="00F70927">
        <w:rPr>
          <w:rFonts w:cs="ITCGaramondStd-Lt"/>
          <w:color w:val="000000"/>
        </w:rPr>
        <w:t>,</w:t>
      </w:r>
      <w:r w:rsidR="00571107">
        <w:rPr>
          <w:rFonts w:cs="ITCGaramondStd-Lt"/>
          <w:color w:val="000000"/>
        </w:rPr>
        <w:t xml:space="preserve"> or </w:t>
      </w:r>
      <w:r w:rsidR="006E46C6">
        <w:rPr>
          <w:rFonts w:cs="ITCGaramondStd-Lt"/>
          <w:color w:val="000000"/>
        </w:rPr>
        <w:t xml:space="preserve">even </w:t>
      </w:r>
      <w:r w:rsidR="00EC77AA">
        <w:rPr>
          <w:rFonts w:cs="ITCGaramondStd-Lt"/>
          <w:color w:val="000000"/>
        </w:rPr>
        <w:t xml:space="preserve">foreseeing that they </w:t>
      </w:r>
      <w:r w:rsidR="00A80BF4">
        <w:rPr>
          <w:rFonts w:cs="ITCGaramondStd-Lt"/>
          <w:color w:val="000000"/>
        </w:rPr>
        <w:t xml:space="preserve">will </w:t>
      </w:r>
      <w:r w:rsidR="00EC77AA">
        <w:rPr>
          <w:rFonts w:cs="ITCGaramondStd-Lt"/>
          <w:color w:val="000000"/>
        </w:rPr>
        <w:t>die</w:t>
      </w:r>
      <w:r w:rsidR="00D6397D">
        <w:rPr>
          <w:rFonts w:cs="ITCGaramondStd-Lt"/>
          <w:color w:val="000000"/>
        </w:rPr>
        <w:t>.</w:t>
      </w:r>
      <w:r w:rsidR="00D6397D">
        <w:rPr>
          <w:rStyle w:val="FootnoteReference"/>
          <w:rFonts w:cs="ITCGaramondStd-Lt"/>
          <w:color w:val="000000"/>
        </w:rPr>
        <w:footnoteReference w:id="11"/>
      </w:r>
      <w:r w:rsidR="00D6397D" w:rsidRPr="007D5D5C">
        <w:rPr>
          <w:rFonts w:cs="ITCGaramondStd-Lt"/>
          <w:b/>
          <w:color w:val="000000"/>
        </w:rPr>
        <w:t xml:space="preserve"> </w:t>
      </w:r>
      <w:r w:rsidR="006E46C6">
        <w:rPr>
          <w:rFonts w:cs="ITCGaramondStd-Lt"/>
          <w:color w:val="000000"/>
        </w:rPr>
        <w:t xml:space="preserve"> </w:t>
      </w:r>
      <w:r w:rsidR="00D6397D">
        <w:rPr>
          <w:rFonts w:cs="ITCGaramondStd-Lt"/>
          <w:color w:val="000000"/>
        </w:rPr>
        <w:t>O</w:t>
      </w:r>
      <w:r w:rsidR="006E46C6">
        <w:rPr>
          <w:rFonts w:cs="ITCGaramondStd-Lt"/>
          <w:color w:val="000000"/>
        </w:rPr>
        <w:t xml:space="preserve">ne </w:t>
      </w:r>
      <w:r w:rsidR="00EC77AA">
        <w:rPr>
          <w:rFonts w:cs="ITCGaramondStd-Lt"/>
          <w:color w:val="000000"/>
        </w:rPr>
        <w:t xml:space="preserve">might think that </w:t>
      </w:r>
      <w:r w:rsidR="000578CD">
        <w:rPr>
          <w:rFonts w:cs="ITCGaramondStd-Lt"/>
          <w:color w:val="000000"/>
        </w:rPr>
        <w:t xml:space="preserve">releasing someone’s </w:t>
      </w:r>
      <w:r w:rsidR="00936502">
        <w:rPr>
          <w:rFonts w:cs="ITCGaramondStd-Lt"/>
          <w:color w:val="000000"/>
        </w:rPr>
        <w:t xml:space="preserve">hand </w:t>
      </w:r>
      <w:r w:rsidR="004C0F8A">
        <w:rPr>
          <w:rFonts w:cs="ITCGaramondStd-Lt"/>
          <w:color w:val="000000"/>
        </w:rPr>
        <w:t>and letting them dr</w:t>
      </w:r>
      <w:r w:rsidR="00841588">
        <w:rPr>
          <w:rFonts w:cs="ITCGaramondStd-Lt"/>
          <w:color w:val="000000"/>
        </w:rPr>
        <w:t>o</w:t>
      </w:r>
      <w:r w:rsidR="004C0F8A">
        <w:rPr>
          <w:rFonts w:cs="ITCGaramondStd-Lt"/>
          <w:color w:val="000000"/>
        </w:rPr>
        <w:t xml:space="preserve">p </w:t>
      </w:r>
      <w:r w:rsidR="00A80BF4">
        <w:rPr>
          <w:rFonts w:cs="ITCGaramondStd-Lt"/>
          <w:color w:val="000000"/>
        </w:rPr>
        <w:t xml:space="preserve">will not be fatal </w:t>
      </w:r>
      <w:r w:rsidR="000578CD">
        <w:rPr>
          <w:rFonts w:cs="ITCGaramondStd-Lt"/>
          <w:color w:val="000000"/>
        </w:rPr>
        <w:t xml:space="preserve">for the person </w:t>
      </w:r>
      <w:r w:rsidR="00EC77AA">
        <w:rPr>
          <w:rFonts w:cs="ITCGaramondStd-Lt"/>
          <w:color w:val="000000"/>
        </w:rPr>
        <w:t>will survive the</w:t>
      </w:r>
      <w:r w:rsidR="00936502">
        <w:rPr>
          <w:rFonts w:cs="ITCGaramondStd-Lt"/>
          <w:color w:val="000000"/>
        </w:rPr>
        <w:t xml:space="preserve"> </w:t>
      </w:r>
      <w:r w:rsidR="004C0F8A">
        <w:rPr>
          <w:rFonts w:cs="ITCGaramondStd-Lt"/>
          <w:color w:val="000000"/>
        </w:rPr>
        <w:t>fall</w:t>
      </w:r>
      <w:r w:rsidR="00D6397D">
        <w:rPr>
          <w:rFonts w:cs="ITCGaramondStd-Lt"/>
          <w:color w:val="000000"/>
        </w:rPr>
        <w:t xml:space="preserve">. </w:t>
      </w:r>
      <w:r w:rsidR="00A80BF4">
        <w:rPr>
          <w:rFonts w:cs="ITCGaramondStd-Lt"/>
          <w:color w:val="000000"/>
        </w:rPr>
        <w:t xml:space="preserve">But if one is wrong and </w:t>
      </w:r>
      <w:r w:rsidR="00936502">
        <w:rPr>
          <w:rFonts w:cs="ITCGaramondStd-Lt"/>
          <w:color w:val="000000"/>
        </w:rPr>
        <w:t xml:space="preserve">the </w:t>
      </w:r>
      <w:r w:rsidR="00A80BF4">
        <w:rPr>
          <w:rFonts w:cs="ITCGaramondStd-Lt"/>
          <w:color w:val="000000"/>
        </w:rPr>
        <w:t xml:space="preserve">relaxing of one’s grip turns out to be </w:t>
      </w:r>
      <w:r w:rsidR="000770D5">
        <w:rPr>
          <w:rFonts w:cs="ITCGaramondStd-Lt"/>
          <w:color w:val="000000"/>
        </w:rPr>
        <w:t>deadly</w:t>
      </w:r>
      <w:r w:rsidR="00AE5D82" w:rsidRPr="00AE5D82">
        <w:rPr>
          <w:rFonts w:cs="ITCGaramondStd-Lt"/>
          <w:color w:val="000000"/>
        </w:rPr>
        <w:t xml:space="preserve"> </w:t>
      </w:r>
      <w:r w:rsidR="00AE5D82">
        <w:rPr>
          <w:rFonts w:cs="ITCGaramondStd-Lt"/>
          <w:color w:val="000000"/>
        </w:rPr>
        <w:t xml:space="preserve">because </w:t>
      </w:r>
      <w:r w:rsidR="00F014B8">
        <w:rPr>
          <w:rFonts w:cs="ITCGaramondStd-Lt"/>
          <w:color w:val="000000"/>
        </w:rPr>
        <w:t>one</w:t>
      </w:r>
      <w:r w:rsidR="00AE5D82">
        <w:rPr>
          <w:rFonts w:cs="ITCGaramondStd-Lt"/>
          <w:color w:val="000000"/>
        </w:rPr>
        <w:t xml:space="preserve"> miscalculated how high up the person is or how hard is the surface </w:t>
      </w:r>
      <w:r w:rsidR="000770D5">
        <w:rPr>
          <w:rFonts w:cs="ITCGaramondStd-Lt"/>
          <w:color w:val="000000"/>
        </w:rPr>
        <w:t>below</w:t>
      </w:r>
      <w:r w:rsidR="00A80BF4">
        <w:rPr>
          <w:rFonts w:cs="ITCGaramondStd-Lt"/>
          <w:color w:val="000000"/>
        </w:rPr>
        <w:t>, th</w:t>
      </w:r>
      <w:r w:rsidR="007A2650">
        <w:rPr>
          <w:rFonts w:cs="ITCGaramondStd-Lt"/>
          <w:color w:val="000000"/>
        </w:rPr>
        <w:t>is</w:t>
      </w:r>
      <w:r w:rsidR="00A80BF4">
        <w:rPr>
          <w:rFonts w:cs="ITCGaramondStd-Lt"/>
          <w:color w:val="000000"/>
        </w:rPr>
        <w:t xml:space="preserve"> is </w:t>
      </w:r>
      <w:r w:rsidR="007A2650">
        <w:rPr>
          <w:rFonts w:cs="ITCGaramondStd-Lt"/>
          <w:color w:val="000000"/>
        </w:rPr>
        <w:t xml:space="preserve">still </w:t>
      </w:r>
      <w:r w:rsidR="00A80BF4">
        <w:rPr>
          <w:rFonts w:cs="ITCGaramondStd-Lt"/>
          <w:color w:val="000000"/>
        </w:rPr>
        <w:t xml:space="preserve">a case of letting someone die. </w:t>
      </w:r>
    </w:p>
    <w:p w:rsidR="00846E40" w:rsidRDefault="00EC77AA" w:rsidP="00E83925">
      <w:pPr>
        <w:spacing w:after="0" w:line="480" w:lineRule="auto"/>
        <w:ind w:firstLine="720"/>
      </w:pPr>
      <w:r>
        <w:t xml:space="preserve">The benefits of the adjectival approach are </w:t>
      </w:r>
      <w:r w:rsidR="002570D3">
        <w:t>considerable</w:t>
      </w:r>
      <w:r>
        <w:t xml:space="preserve">. Most importantly, it avoids </w:t>
      </w:r>
      <w:r w:rsidR="00D96359">
        <w:t>equivocation</w:t>
      </w:r>
      <w:r>
        <w:t>. It won’t require two sense</w:t>
      </w:r>
      <w:r w:rsidR="006E46C6">
        <w:t>s</w:t>
      </w:r>
      <w:r>
        <w:t xml:space="preserve"> of </w:t>
      </w:r>
      <w:r w:rsidR="006E46C6">
        <w:t>“</w:t>
      </w:r>
      <w:r>
        <w:t>killing</w:t>
      </w:r>
      <w:r w:rsidR="006E46C6">
        <w:t>”</w:t>
      </w:r>
      <w:r>
        <w:t xml:space="preserve">, one for the social world, </w:t>
      </w:r>
      <w:r w:rsidR="00FA45A3">
        <w:t xml:space="preserve">another </w:t>
      </w:r>
      <w:r>
        <w:t xml:space="preserve">for mindless </w:t>
      </w:r>
      <w:r w:rsidR="004603C0">
        <w:t xml:space="preserve">entities or </w:t>
      </w:r>
      <w:r w:rsidR="000578CD">
        <w:t xml:space="preserve">minimally minded </w:t>
      </w:r>
      <w:r w:rsidR="004603C0">
        <w:t xml:space="preserve">creatures </w:t>
      </w:r>
      <w:r w:rsidR="006E46C6">
        <w:t xml:space="preserve">that are not </w:t>
      </w:r>
      <w:r>
        <w:t>moral agents. Moreover</w:t>
      </w:r>
      <w:r w:rsidR="00AC1E89">
        <w:t>,</w:t>
      </w:r>
      <w:r>
        <w:t xml:space="preserve"> </w:t>
      </w:r>
      <w:r w:rsidR="00173423">
        <w:t>characterizing “</w:t>
      </w:r>
      <w:r w:rsidR="004603C0">
        <w:t>killing</w:t>
      </w:r>
      <w:r w:rsidR="00173423">
        <w:t>”</w:t>
      </w:r>
      <w:r w:rsidR="004603C0">
        <w:t xml:space="preserve"> </w:t>
      </w:r>
      <w:r w:rsidR="004603C0">
        <w:lastRenderedPageBreak/>
        <w:t>non-normat</w:t>
      </w:r>
      <w:r w:rsidR="00FA45A3">
        <w:t>i</w:t>
      </w:r>
      <w:r w:rsidR="004603C0">
        <w:t xml:space="preserve">vely </w:t>
      </w:r>
      <w:r>
        <w:t xml:space="preserve">avoids </w:t>
      </w:r>
      <w:r w:rsidR="00571107">
        <w:t>a number of puzzles.</w:t>
      </w:r>
      <w:r w:rsidR="00475682">
        <w:rPr>
          <w:rStyle w:val="FootnoteReference"/>
        </w:rPr>
        <w:footnoteReference w:id="12"/>
      </w:r>
      <w:r>
        <w:t xml:space="preserve"> First</w:t>
      </w:r>
      <w:r w:rsidR="004603C0">
        <w:t>,</w:t>
      </w:r>
      <w:r>
        <w:t xml:space="preserve"> imagine someone </w:t>
      </w:r>
      <w:r w:rsidR="007A2650">
        <w:t xml:space="preserve">beginning the process of </w:t>
      </w:r>
      <w:r>
        <w:t>withdrawing aid and</w:t>
      </w:r>
      <w:r w:rsidR="00CE1FAB">
        <w:t xml:space="preserve"> </w:t>
      </w:r>
      <w:r w:rsidR="00936502">
        <w:t xml:space="preserve">the intense experience or new information </w:t>
      </w:r>
      <w:r w:rsidR="00CE1FAB">
        <w:t xml:space="preserve">leads </w:t>
      </w:r>
      <w:r w:rsidR="007A2650">
        <w:t xml:space="preserve">her </w:t>
      </w:r>
      <w:r w:rsidR="00CE1FAB">
        <w:t xml:space="preserve">to complete the action for a reason </w:t>
      </w:r>
      <w:r w:rsidR="002673AA">
        <w:t xml:space="preserve">with a different moral valence than </w:t>
      </w:r>
      <w:r w:rsidR="008007A1">
        <w:t>s</w:t>
      </w:r>
      <w:r w:rsidR="002673AA">
        <w:t xml:space="preserve">he began. If we prioritize either the ending </w:t>
      </w:r>
      <w:r w:rsidR="008007A1">
        <w:t xml:space="preserve">or the start </w:t>
      </w:r>
      <w:r w:rsidR="002673AA">
        <w:t xml:space="preserve">over the </w:t>
      </w:r>
      <w:r w:rsidR="008007A1">
        <w:t>other</w:t>
      </w:r>
      <w:r w:rsidR="002673AA">
        <w:t>, that could change the action from a killing to a letting die or vice vers</w:t>
      </w:r>
      <w:r w:rsidR="00804119">
        <w:t>a</w:t>
      </w:r>
      <w:r w:rsidR="002673AA">
        <w:t xml:space="preserve">. </w:t>
      </w:r>
      <w:r w:rsidR="00F026C1">
        <w:t xml:space="preserve">If </w:t>
      </w:r>
      <w:r w:rsidR="008007A1">
        <w:t xml:space="preserve">that possibility </w:t>
      </w:r>
      <w:r w:rsidR="00F026C1">
        <w:t>do</w:t>
      </w:r>
      <w:r w:rsidR="00571107">
        <w:t>e</w:t>
      </w:r>
      <w:r w:rsidR="004771D7">
        <w:t>s</w:t>
      </w:r>
      <w:r w:rsidR="00F026C1">
        <w:t xml:space="preserve">n’t </w:t>
      </w:r>
      <w:r w:rsidR="004603C0">
        <w:t xml:space="preserve">strike you as </w:t>
      </w:r>
      <w:r w:rsidR="009733E9">
        <w:t>counterintuitive</w:t>
      </w:r>
      <w:r w:rsidR="00F026C1">
        <w:t xml:space="preserve">, consider </w:t>
      </w:r>
      <w:r w:rsidR="002673AA">
        <w:t xml:space="preserve">a second scenario of </w:t>
      </w:r>
      <w:r w:rsidR="00F026C1">
        <w:t>overdete</w:t>
      </w:r>
      <w:r w:rsidR="00AC1E89">
        <w:t>rmined</w:t>
      </w:r>
      <w:r w:rsidR="004603C0">
        <w:t xml:space="preserve"> cases of withdrawal of life support</w:t>
      </w:r>
      <w:r w:rsidR="00936502">
        <w:t>. T</w:t>
      </w:r>
      <w:r w:rsidR="00F026C1">
        <w:t xml:space="preserve">he </w:t>
      </w:r>
      <w:r w:rsidR="002673AA">
        <w:t>doctor</w:t>
      </w:r>
      <w:r w:rsidR="00F026C1">
        <w:t xml:space="preserve"> removes the aid for more than one </w:t>
      </w:r>
      <w:r w:rsidR="00F70927">
        <w:t xml:space="preserve">sufficient </w:t>
      </w:r>
      <w:r w:rsidR="00F026C1">
        <w:t>reason –</w:t>
      </w:r>
      <w:r w:rsidR="008007A1">
        <w:t xml:space="preserve"> </w:t>
      </w:r>
      <w:r w:rsidR="00F026C1">
        <w:t xml:space="preserve">the patient requested it </w:t>
      </w:r>
      <w:r w:rsidR="004603C0">
        <w:t xml:space="preserve">as pain relief </w:t>
      </w:r>
      <w:r w:rsidR="00F026C1" w:rsidRPr="00FA45A3">
        <w:rPr>
          <w:i/>
        </w:rPr>
        <w:t>and</w:t>
      </w:r>
      <w:r w:rsidR="00F026C1">
        <w:t xml:space="preserve"> </w:t>
      </w:r>
      <w:r w:rsidR="002673AA">
        <w:t>t</w:t>
      </w:r>
      <w:r w:rsidR="00F026C1">
        <w:t xml:space="preserve">he </w:t>
      </w:r>
      <w:r w:rsidR="002673AA">
        <w:t xml:space="preserve">doctor </w:t>
      </w:r>
      <w:r w:rsidR="00F026C1">
        <w:t>stands to inherit</w:t>
      </w:r>
      <w:r w:rsidR="004603C0">
        <w:t xml:space="preserve"> the patient’ great wealth</w:t>
      </w:r>
      <w:r w:rsidR="00F026C1">
        <w:t xml:space="preserve">. </w:t>
      </w:r>
      <w:r w:rsidR="008007A1">
        <w:t xml:space="preserve">Is the same action a killing and a death-allowing? Answering in the affirmative undermines the belief that </w:t>
      </w:r>
      <w:r w:rsidR="00571107">
        <w:t>killing and letting die</w:t>
      </w:r>
      <w:r w:rsidR="008007A1">
        <w:t xml:space="preserve"> are exclusive. </w:t>
      </w:r>
      <w:r w:rsidR="00AD03DA">
        <w:t xml:space="preserve">If that is avoided, given that </w:t>
      </w:r>
      <w:r w:rsidR="004771D7">
        <w:t>t</w:t>
      </w:r>
      <w:r w:rsidR="008007A1">
        <w:t xml:space="preserve">here is no reason for </w:t>
      </w:r>
      <w:r w:rsidR="00F70927">
        <w:t>the withdrawal</w:t>
      </w:r>
      <w:r w:rsidR="008007A1">
        <w:t xml:space="preserve"> to be </w:t>
      </w:r>
      <w:r w:rsidR="00F70927">
        <w:t>a killing rather than a letting die</w:t>
      </w:r>
      <w:r w:rsidR="00571107">
        <w:t>,</w:t>
      </w:r>
      <w:r w:rsidR="008007A1">
        <w:t xml:space="preserve"> </w:t>
      </w:r>
      <w:r w:rsidR="004771D7">
        <w:t xml:space="preserve">then is it </w:t>
      </w:r>
      <w:r w:rsidR="008007A1">
        <w:t>neither? We</w:t>
      </w:r>
      <w:r w:rsidR="002673AA">
        <w:t xml:space="preserve"> can imagine a third case </w:t>
      </w:r>
      <w:r w:rsidR="004771D7">
        <w:t xml:space="preserve">involving a person with </w:t>
      </w:r>
      <w:r w:rsidR="002673AA">
        <w:t>two motives</w:t>
      </w:r>
      <w:r w:rsidR="004771D7">
        <w:t xml:space="preserve"> that are</w:t>
      </w:r>
      <w:r w:rsidR="00936502">
        <w:t xml:space="preserve"> </w:t>
      </w:r>
      <w:r w:rsidR="002673AA">
        <w:t xml:space="preserve">jointly sufficient to produce the withdrawal, neither effective by itself. </w:t>
      </w:r>
      <w:r w:rsidR="00936502">
        <w:t>Imagine one is base and the other noble, w</w:t>
      </w:r>
      <w:r w:rsidR="00F026C1">
        <w:t xml:space="preserve">hich </w:t>
      </w:r>
      <w:r w:rsidR="008007A1">
        <w:t xml:space="preserve">determines whether </w:t>
      </w:r>
      <w:r w:rsidR="00F026C1">
        <w:t xml:space="preserve">the </w:t>
      </w:r>
      <w:r w:rsidR="00936502">
        <w:t>withdrawal</w:t>
      </w:r>
      <w:r w:rsidR="008007A1">
        <w:t xml:space="preserve"> is a killing or letting die</w:t>
      </w:r>
      <w:r w:rsidR="00936502">
        <w:t>?</w:t>
      </w:r>
      <w:r w:rsidR="00F026C1">
        <w:t xml:space="preserve"> </w:t>
      </w:r>
      <w:r w:rsidR="008007A1">
        <w:t xml:space="preserve">The moralizing </w:t>
      </w:r>
      <w:r w:rsidR="00571107">
        <w:t xml:space="preserve">approach </w:t>
      </w:r>
      <w:r w:rsidR="008007A1">
        <w:t xml:space="preserve">again </w:t>
      </w:r>
      <w:r w:rsidR="00571107">
        <w:t xml:space="preserve">either </w:t>
      </w:r>
      <w:r w:rsidR="008007A1">
        <w:t>abandon</w:t>
      </w:r>
      <w:r w:rsidR="00571107">
        <w:t>s</w:t>
      </w:r>
      <w:r w:rsidR="008007A1">
        <w:t xml:space="preserve"> exclusivity or </w:t>
      </w:r>
      <w:r w:rsidR="00A7109F">
        <w:t>refus</w:t>
      </w:r>
      <w:r w:rsidR="00571107">
        <w:t>es</w:t>
      </w:r>
      <w:r w:rsidR="00A7109F">
        <w:t xml:space="preserve"> to classify </w:t>
      </w:r>
      <w:r w:rsidR="00571107">
        <w:t>the death determining event as either a killing or letting die</w:t>
      </w:r>
      <w:r w:rsidR="00F70927">
        <w:t xml:space="preserve">. </w:t>
      </w:r>
      <w:r w:rsidR="0093269C">
        <w:t xml:space="preserve">Alternatively, and perhaps incoherently, </w:t>
      </w:r>
      <w:r w:rsidR="000D2D6C">
        <w:t xml:space="preserve">moralizing </w:t>
      </w:r>
      <w:r w:rsidR="0093269C">
        <w:t xml:space="preserve">could make the </w:t>
      </w:r>
      <w:r w:rsidR="000D2D6C">
        <w:t xml:space="preserve">last withdrawal </w:t>
      </w:r>
      <w:r w:rsidR="0093269C">
        <w:t xml:space="preserve">partially a killing and partially a letting die. </w:t>
      </w:r>
      <w:r w:rsidR="002673AA">
        <w:t>I</w:t>
      </w:r>
      <w:r w:rsidR="00F026C1">
        <w:t xml:space="preserve">magine </w:t>
      </w:r>
      <w:r w:rsidR="002673AA">
        <w:t xml:space="preserve">a fourth kind of </w:t>
      </w:r>
      <w:r w:rsidR="00F026C1">
        <w:t xml:space="preserve">withdrawal </w:t>
      </w:r>
      <w:r w:rsidR="00571107">
        <w:t xml:space="preserve">that </w:t>
      </w:r>
      <w:r w:rsidR="00F026C1">
        <w:t xml:space="preserve">requires more than one person and the members of the group are doing it from different motives. Some </w:t>
      </w:r>
      <w:r w:rsidR="00936502">
        <w:t xml:space="preserve">act from </w:t>
      </w:r>
      <w:r w:rsidR="00F026C1">
        <w:t xml:space="preserve">malice, some aim at a good death, others </w:t>
      </w:r>
      <w:r w:rsidR="00936502">
        <w:t xml:space="preserve">seek just </w:t>
      </w:r>
      <w:r w:rsidR="00F026C1">
        <w:t xml:space="preserve">to respect </w:t>
      </w:r>
      <w:r w:rsidR="00936502">
        <w:t xml:space="preserve">the patient’s </w:t>
      </w:r>
      <w:r w:rsidR="00F026C1">
        <w:t xml:space="preserve">wishes to remove unwanted treatment. </w:t>
      </w:r>
      <w:r w:rsidR="00A7109F">
        <w:t xml:space="preserve">All the previous </w:t>
      </w:r>
      <w:r w:rsidR="004C0F8A">
        <w:t xml:space="preserve">counterintuitive treatments </w:t>
      </w:r>
      <w:r w:rsidR="00846E40">
        <w:t xml:space="preserve">again </w:t>
      </w:r>
      <w:r w:rsidR="00A7109F">
        <w:t xml:space="preserve">arise. Perhaps </w:t>
      </w:r>
      <w:r w:rsidR="00571107">
        <w:t>t</w:t>
      </w:r>
      <w:r w:rsidR="00A7109F">
        <w:t xml:space="preserve">here </w:t>
      </w:r>
      <w:r w:rsidR="00571107">
        <w:t xml:space="preserve">is </w:t>
      </w:r>
      <w:r w:rsidR="00A7109F">
        <w:t xml:space="preserve">here is a fourth unwelcome interpretation that </w:t>
      </w:r>
      <w:r w:rsidR="00571107">
        <w:t xml:space="preserve">denies the withdrawing is </w:t>
      </w:r>
      <w:r w:rsidR="00846E40">
        <w:t xml:space="preserve">just one </w:t>
      </w:r>
      <w:r w:rsidR="00571107">
        <w:t xml:space="preserve">event but instead posits </w:t>
      </w:r>
      <w:r w:rsidR="00A7109F">
        <w:t xml:space="preserve">far </w:t>
      </w:r>
      <w:r w:rsidR="00DD3EB8">
        <w:t xml:space="preserve">more events, some </w:t>
      </w:r>
      <w:r w:rsidR="004771D7">
        <w:t xml:space="preserve">are </w:t>
      </w:r>
      <w:r w:rsidR="00DD3EB8">
        <w:t>killings</w:t>
      </w:r>
      <w:r w:rsidR="00936502">
        <w:t xml:space="preserve"> arising from </w:t>
      </w:r>
      <w:r w:rsidR="004771D7">
        <w:t xml:space="preserve">the </w:t>
      </w:r>
      <w:r w:rsidR="00936502">
        <w:t>vice</w:t>
      </w:r>
      <w:r w:rsidR="004771D7">
        <w:t>s of participants</w:t>
      </w:r>
      <w:r w:rsidR="00936502">
        <w:t xml:space="preserve"> </w:t>
      </w:r>
      <w:r w:rsidR="00DD3EB8">
        <w:t xml:space="preserve">and others are </w:t>
      </w:r>
      <w:r w:rsidR="004771D7">
        <w:t xml:space="preserve">cases of letting die </w:t>
      </w:r>
      <w:r w:rsidR="00DD3EB8">
        <w:t>be</w:t>
      </w:r>
      <w:r w:rsidR="00163868">
        <w:t xml:space="preserve">cause </w:t>
      </w:r>
      <w:r w:rsidR="004771D7">
        <w:t xml:space="preserve">they </w:t>
      </w:r>
      <w:r w:rsidR="004771D7">
        <w:lastRenderedPageBreak/>
        <w:t xml:space="preserve">involve contributions stemming from </w:t>
      </w:r>
      <w:r w:rsidR="00163868">
        <w:t>virtue</w:t>
      </w:r>
      <w:r w:rsidR="004771D7">
        <w:t>s</w:t>
      </w:r>
      <w:r w:rsidR="00FA45A3">
        <w:t>.</w:t>
      </w:r>
      <w:r w:rsidR="00A7109F">
        <w:rPr>
          <w:rStyle w:val="FootnoteReference"/>
        </w:rPr>
        <w:footnoteReference w:id="13"/>
      </w:r>
      <w:r w:rsidR="00FA45A3">
        <w:t xml:space="preserve"> </w:t>
      </w:r>
      <w:r w:rsidR="00F026C1">
        <w:t>Th</w:t>
      </w:r>
      <w:r w:rsidR="00804119">
        <w:t xml:space="preserve">e problems posed by these four scenarios </w:t>
      </w:r>
      <w:r w:rsidR="00F026C1">
        <w:t xml:space="preserve">can all be avoided if </w:t>
      </w:r>
      <w:r w:rsidR="00A7109F">
        <w:t xml:space="preserve">take an adjectival approach, determine on non-moral grounds that it is a case of </w:t>
      </w:r>
      <w:r w:rsidR="00804119">
        <w:t xml:space="preserve">killing or </w:t>
      </w:r>
      <w:r w:rsidR="00A7109F">
        <w:t xml:space="preserve">letting die and then judge it wrong or not </w:t>
      </w:r>
      <w:r w:rsidR="00846E40">
        <w:t>and the agent(s) praiseworthy</w:t>
      </w:r>
      <w:r w:rsidR="00804119">
        <w:t>,</w:t>
      </w:r>
      <w:r w:rsidR="00846E40">
        <w:t xml:space="preserve"> blameworthy</w:t>
      </w:r>
      <w:r w:rsidR="00804119">
        <w:t>, or both.</w:t>
      </w:r>
    </w:p>
    <w:p w:rsidR="007959C3" w:rsidRDefault="007959C3" w:rsidP="007959C3">
      <w:pPr>
        <w:spacing w:after="0" w:line="480" w:lineRule="auto"/>
        <w:jc w:val="center"/>
      </w:pPr>
      <w:r>
        <w:rPr>
          <w:b/>
        </w:rPr>
        <w:t>C. Fine-</w:t>
      </w:r>
      <w:r w:rsidR="00F26CE5">
        <w:rPr>
          <w:b/>
        </w:rPr>
        <w:t>Tu</w:t>
      </w:r>
      <w:r>
        <w:rPr>
          <w:b/>
        </w:rPr>
        <w:t>ning the Killing/Letting Die Distinction</w:t>
      </w:r>
    </w:p>
    <w:p w:rsidR="00CD0FDC" w:rsidRPr="008E4789" w:rsidRDefault="00846E40" w:rsidP="00E83925">
      <w:pPr>
        <w:spacing w:after="0" w:line="480" w:lineRule="auto"/>
        <w:ind w:firstLine="720"/>
      </w:pPr>
      <w:r>
        <w:t xml:space="preserve">I advocate </w:t>
      </w:r>
      <w:r w:rsidR="009C29C9">
        <w:t xml:space="preserve">a descriptive account of </w:t>
      </w:r>
      <w:r w:rsidR="00F026C1">
        <w:t xml:space="preserve">X letting Y die as </w:t>
      </w:r>
      <w:r w:rsidR="00163868">
        <w:t xml:space="preserve">X </w:t>
      </w:r>
      <w:r w:rsidR="0093269C">
        <w:t xml:space="preserve">(an individual or group) </w:t>
      </w:r>
      <w:r w:rsidR="00F026C1">
        <w:t>not providing the assistance that would sustain Y’s life.</w:t>
      </w:r>
      <w:r w:rsidR="00667D46">
        <w:rPr>
          <w:rStyle w:val="FootnoteReference"/>
        </w:rPr>
        <w:footnoteReference w:id="14"/>
      </w:r>
      <w:r w:rsidR="00F026C1">
        <w:t xml:space="preserve"> </w:t>
      </w:r>
      <w:r w:rsidR="004771D7">
        <w:t xml:space="preserve">Cases of letting die </w:t>
      </w:r>
      <w:r w:rsidR="00F026C1">
        <w:t xml:space="preserve">that </w:t>
      </w:r>
      <w:r w:rsidR="00B4707A">
        <w:t xml:space="preserve">involve </w:t>
      </w:r>
      <w:r w:rsidR="00F026C1">
        <w:t xml:space="preserve">omissions and those that are </w:t>
      </w:r>
      <w:r w:rsidR="00936502">
        <w:t xml:space="preserve">active </w:t>
      </w:r>
      <w:r w:rsidR="00F026C1">
        <w:t xml:space="preserve">withdrawals of aid all involve </w:t>
      </w:r>
      <w:r w:rsidR="00936502">
        <w:t xml:space="preserve">failing to provide </w:t>
      </w:r>
      <w:r w:rsidR="00F026C1">
        <w:t xml:space="preserve">life sustaining aid. This might involve </w:t>
      </w:r>
      <w:r w:rsidR="00655DF6">
        <w:t xml:space="preserve">refusing to allow </w:t>
      </w:r>
      <w:r w:rsidR="000D2D6C">
        <w:t>one’s</w:t>
      </w:r>
      <w:r w:rsidR="00C250EC">
        <w:t xml:space="preserve"> body </w:t>
      </w:r>
      <w:r w:rsidR="00163868">
        <w:t xml:space="preserve">to be </w:t>
      </w:r>
      <w:r w:rsidR="00C250EC">
        <w:t xml:space="preserve">used, </w:t>
      </w:r>
      <w:r w:rsidR="00163868">
        <w:t xml:space="preserve">not </w:t>
      </w:r>
      <w:r w:rsidR="00C250EC">
        <w:t xml:space="preserve">making the </w:t>
      </w:r>
      <w:r w:rsidR="00655DF6">
        <w:t xml:space="preserve">required </w:t>
      </w:r>
      <w:r w:rsidR="00C250EC">
        <w:t>effort</w:t>
      </w:r>
      <w:r w:rsidR="00163868">
        <w:t>s,</w:t>
      </w:r>
      <w:r w:rsidR="00C250EC">
        <w:t xml:space="preserve"> or </w:t>
      </w:r>
      <w:r w:rsidR="00655DF6">
        <w:t xml:space="preserve">refraining from providing the money and property to </w:t>
      </w:r>
      <w:r w:rsidR="00936502">
        <w:t>prevent a death</w:t>
      </w:r>
      <w:r w:rsidR="00E52E71">
        <w:t xml:space="preserve"> and so forth</w:t>
      </w:r>
      <w:r w:rsidR="00C250EC">
        <w:t xml:space="preserve">. It might be </w:t>
      </w:r>
      <w:r w:rsidR="00E52E71">
        <w:t xml:space="preserve">countered </w:t>
      </w:r>
      <w:r w:rsidR="00C250EC">
        <w:t xml:space="preserve">that withdrawing what one </w:t>
      </w:r>
      <w:r w:rsidR="00C250EC" w:rsidRPr="000D2D6C">
        <w:rPr>
          <w:i/>
        </w:rPr>
        <w:t>owns</w:t>
      </w:r>
      <w:r w:rsidR="00C250EC">
        <w:t xml:space="preserve"> brings normativity into the </w:t>
      </w:r>
      <w:r w:rsidR="00655DF6">
        <w:t>account as p</w:t>
      </w:r>
      <w:r w:rsidR="00163868">
        <w:t xml:space="preserve">roperty is a normative notion. </w:t>
      </w:r>
      <w:r w:rsidR="00C250EC">
        <w:t xml:space="preserve">Likewise, </w:t>
      </w:r>
      <w:r w:rsidR="00163868">
        <w:t xml:space="preserve">whether </w:t>
      </w:r>
      <w:r w:rsidR="00C250EC">
        <w:t xml:space="preserve">the person who withdraws the </w:t>
      </w:r>
      <w:r w:rsidR="00163868">
        <w:t xml:space="preserve">life support in a hospital </w:t>
      </w:r>
      <w:r w:rsidR="00C250EC">
        <w:t>belong</w:t>
      </w:r>
      <w:r w:rsidR="00163868">
        <w:t>s</w:t>
      </w:r>
      <w:r w:rsidR="00C250EC">
        <w:t xml:space="preserve"> to </w:t>
      </w:r>
      <w:r w:rsidR="00655DF6">
        <w:t xml:space="preserve">the </w:t>
      </w:r>
      <w:r w:rsidR="00936502">
        <w:t xml:space="preserve">medical </w:t>
      </w:r>
      <w:r w:rsidR="00655DF6">
        <w:t xml:space="preserve">team </w:t>
      </w:r>
      <w:r w:rsidR="00C250EC">
        <w:t xml:space="preserve">that </w:t>
      </w:r>
      <w:r w:rsidR="009733E9">
        <w:t>is</w:t>
      </w:r>
      <w:r w:rsidR="00C250EC">
        <w:t xml:space="preserve"> providing </w:t>
      </w:r>
      <w:r w:rsidR="00163868">
        <w:t>such aid involves normative elements of membershi</w:t>
      </w:r>
      <w:r w:rsidR="00936502">
        <w:t>p and employment</w:t>
      </w:r>
      <w:r w:rsidR="00163868">
        <w:t>.</w:t>
      </w:r>
      <w:r w:rsidR="00C250EC">
        <w:rPr>
          <w:rStyle w:val="FootnoteReference"/>
        </w:rPr>
        <w:footnoteReference w:id="15"/>
      </w:r>
      <w:r w:rsidR="00C250EC">
        <w:t xml:space="preserve"> </w:t>
      </w:r>
      <w:r w:rsidR="00CD0FDC">
        <w:t xml:space="preserve">My response is to distinguish </w:t>
      </w:r>
      <w:r w:rsidR="00CD0FDC" w:rsidRPr="00163868">
        <w:rPr>
          <w:i/>
        </w:rPr>
        <w:t>all things considered normativity</w:t>
      </w:r>
      <w:r w:rsidR="00CD0FDC">
        <w:t xml:space="preserve"> </w:t>
      </w:r>
      <w:r w:rsidR="00163868">
        <w:t xml:space="preserve">from </w:t>
      </w:r>
      <w:r w:rsidR="00CD0FDC" w:rsidRPr="00163868">
        <w:rPr>
          <w:i/>
        </w:rPr>
        <w:t xml:space="preserve">small </w:t>
      </w:r>
      <w:r w:rsidR="00CD0FDC" w:rsidRPr="00163868">
        <w:rPr>
          <w:i/>
          <w:vertAlign w:val="subscript"/>
        </w:rPr>
        <w:t>N</w:t>
      </w:r>
      <w:r w:rsidR="00CD0FDC" w:rsidRPr="00163868">
        <w:rPr>
          <w:i/>
        </w:rPr>
        <w:t xml:space="preserve"> normativity</w:t>
      </w:r>
      <w:r w:rsidR="00CD0FDC" w:rsidRPr="005C68BF">
        <w:t xml:space="preserve">. </w:t>
      </w:r>
      <w:r w:rsidR="00216DBD" w:rsidRPr="005C68BF">
        <w:t xml:space="preserve">The former is to be defined as the </w:t>
      </w:r>
      <w:r w:rsidR="00543584" w:rsidRPr="005C68BF">
        <w:t xml:space="preserve">overall </w:t>
      </w:r>
      <w:r w:rsidR="00216DBD" w:rsidRPr="005C68BF">
        <w:t>rightness or wrongness of an action determin</w:t>
      </w:r>
      <w:r w:rsidR="00D463DF" w:rsidRPr="005C68BF">
        <w:t>es</w:t>
      </w:r>
      <w:r w:rsidR="00216DBD" w:rsidRPr="005C68BF">
        <w:t xml:space="preserve"> whether it is to be classified as an instance of killing or letting die. Small </w:t>
      </w:r>
      <w:r w:rsidR="00216DBD" w:rsidRPr="005C68BF">
        <w:rPr>
          <w:vertAlign w:val="subscript"/>
        </w:rPr>
        <w:t>N</w:t>
      </w:r>
      <w:r w:rsidR="00216DBD" w:rsidRPr="005C68BF">
        <w:t xml:space="preserve"> normativity is to be understood as involving the normative considerations that determine whether someone counts as providing the life support that they withdraw, not whether what they did was right or wrong</w:t>
      </w:r>
      <w:r w:rsidR="00216DBD">
        <w:rPr>
          <w:b/>
        </w:rPr>
        <w:t xml:space="preserve">. </w:t>
      </w:r>
      <w:r w:rsidR="00CD0FDC">
        <w:t xml:space="preserve">Property and employment are indeed </w:t>
      </w:r>
      <w:r w:rsidR="00CD0FDC">
        <w:lastRenderedPageBreak/>
        <w:t xml:space="preserve">normative notions but they don’t determine whether the </w:t>
      </w:r>
      <w:r w:rsidR="009B33AC">
        <w:t xml:space="preserve">withdrawal </w:t>
      </w:r>
      <w:r w:rsidR="00B4707A">
        <w:t xml:space="preserve">is </w:t>
      </w:r>
      <w:r w:rsidR="00CD0FDC">
        <w:t xml:space="preserve">moral or immoral. </w:t>
      </w:r>
      <w:r w:rsidR="004B3638">
        <w:t xml:space="preserve">It is the </w:t>
      </w:r>
      <w:r w:rsidR="009B33AC">
        <w:t xml:space="preserve">all things considered </w:t>
      </w:r>
      <w:r w:rsidR="004B3638">
        <w:t>morality of the withdraw</w:t>
      </w:r>
      <w:r w:rsidR="009B33AC">
        <w:t>al</w:t>
      </w:r>
      <w:r w:rsidR="004B3638">
        <w:t xml:space="preserve"> that I am claiming is irrelevant to whether </w:t>
      </w:r>
      <w:r w:rsidR="00936502">
        <w:t xml:space="preserve">it is a </w:t>
      </w:r>
      <w:r w:rsidR="004B3638">
        <w:t xml:space="preserve">case </w:t>
      </w:r>
      <w:r w:rsidR="00936502">
        <w:t xml:space="preserve">of </w:t>
      </w:r>
      <w:r w:rsidR="004B3638">
        <w:t xml:space="preserve">killing or letting die. </w:t>
      </w:r>
      <w:r w:rsidR="00B12D25">
        <w:t xml:space="preserve">Examples </w:t>
      </w:r>
      <w:r w:rsidR="00AD03DA">
        <w:t xml:space="preserve">of immoral withdrawals </w:t>
      </w:r>
      <w:r w:rsidR="00B12D25">
        <w:t>would be t</w:t>
      </w:r>
      <w:r w:rsidR="00DE47AD">
        <w:t xml:space="preserve">he hospital </w:t>
      </w:r>
      <w:r w:rsidR="00AD03DA">
        <w:t xml:space="preserve">removing </w:t>
      </w:r>
      <w:r w:rsidR="00DE47AD">
        <w:t>aid to save just a few dollars, without permission, or to free up a bed for a less sick friend of the hospital system’s CEO. Alternatively, they may stop treat</w:t>
      </w:r>
      <w:r w:rsidR="000D2D6C">
        <w:t>ment</w:t>
      </w:r>
      <w:r w:rsidR="00DE47AD">
        <w:t xml:space="preserve"> for morally admirable reasons</w:t>
      </w:r>
      <w:r w:rsidR="00AD03DA">
        <w:t xml:space="preserve"> of respect of the patient’s integrity or dignity</w:t>
      </w:r>
      <w:r w:rsidR="00DE47AD">
        <w:t xml:space="preserve">. </w:t>
      </w:r>
      <w:r w:rsidR="00B12D25">
        <w:t xml:space="preserve">Both the moral and immoral actions </w:t>
      </w:r>
      <w:r w:rsidR="00657ED4">
        <w:t xml:space="preserve">are </w:t>
      </w:r>
      <w:r w:rsidR="00B12D25">
        <w:t xml:space="preserve">cases of letting someone die. </w:t>
      </w:r>
      <w:r w:rsidR="004B3638">
        <w:t>I</w:t>
      </w:r>
      <w:r w:rsidR="00AD03DA">
        <w:t xml:space="preserve"> do</w:t>
      </w:r>
      <w:r w:rsidR="004B3638">
        <w:t xml:space="preserve"> accept that what counts as withdrawing “one’s own</w:t>
      </w:r>
      <w:r w:rsidR="00936502">
        <w:t xml:space="preserve"> support</w:t>
      </w:r>
      <w:r w:rsidR="004B3638">
        <w:t xml:space="preserve">” </w:t>
      </w:r>
      <w:r w:rsidR="008E4789">
        <w:t xml:space="preserve">can be </w:t>
      </w:r>
      <w:r w:rsidR="004B3638">
        <w:t xml:space="preserve">a normative </w:t>
      </w:r>
      <w:r w:rsidR="00936502" w:rsidRPr="00936502">
        <w:rPr>
          <w:vertAlign w:val="subscript"/>
        </w:rPr>
        <w:t>N</w:t>
      </w:r>
      <w:r w:rsidR="00936502">
        <w:t xml:space="preserve"> </w:t>
      </w:r>
      <w:r w:rsidR="004B3638">
        <w:t xml:space="preserve">issue. </w:t>
      </w:r>
      <w:r w:rsidR="00936502">
        <w:t xml:space="preserve">Normativity </w:t>
      </w:r>
      <w:r w:rsidR="00936502" w:rsidRPr="00936502">
        <w:rPr>
          <w:vertAlign w:val="subscript"/>
        </w:rPr>
        <w:t>N</w:t>
      </w:r>
      <w:r w:rsidR="00936502">
        <w:t xml:space="preserve"> </w:t>
      </w:r>
      <w:r w:rsidR="00B12D25">
        <w:t xml:space="preserve">governing property ownership and group membership </w:t>
      </w:r>
      <w:r w:rsidR="004B3638">
        <w:t xml:space="preserve">will </w:t>
      </w:r>
      <w:r w:rsidR="008E4789">
        <w:t>sometime</w:t>
      </w:r>
      <w:r w:rsidR="008A7D08">
        <w:t>s</w:t>
      </w:r>
      <w:r w:rsidR="008E4789">
        <w:t xml:space="preserve"> </w:t>
      </w:r>
      <w:r w:rsidR="004B3638">
        <w:t xml:space="preserve">play a role in whether the withdrawal </w:t>
      </w:r>
      <w:r w:rsidR="00B12D25">
        <w:t>is</w:t>
      </w:r>
      <w:r w:rsidR="004B3638">
        <w:t xml:space="preserve"> a killing or letting die, </w:t>
      </w:r>
      <w:r w:rsidR="00936502">
        <w:t xml:space="preserve">but </w:t>
      </w:r>
      <w:r w:rsidR="008E4789">
        <w:t xml:space="preserve">what is taxonomically irrelevant </w:t>
      </w:r>
      <w:r w:rsidR="00B4707A">
        <w:t>is</w:t>
      </w:r>
      <w:r w:rsidR="004B3638">
        <w:t xml:space="preserve"> the overall judgment that what </w:t>
      </w:r>
      <w:r w:rsidR="00657ED4">
        <w:t xml:space="preserve">is </w:t>
      </w:r>
      <w:r w:rsidR="004B3638">
        <w:t xml:space="preserve">done </w:t>
      </w:r>
      <w:r w:rsidR="00657ED4">
        <w:t xml:space="preserve">is </w:t>
      </w:r>
      <w:r w:rsidR="00B4707A">
        <w:t xml:space="preserve">moral or </w:t>
      </w:r>
      <w:r w:rsidR="004B3638">
        <w:t xml:space="preserve">immoral. </w:t>
      </w:r>
      <w:r w:rsidR="000D2D6C">
        <w:t>And</w:t>
      </w:r>
      <w:r w:rsidR="008E4789">
        <w:t xml:space="preserve"> even normativity </w:t>
      </w:r>
      <w:r w:rsidR="008E4789" w:rsidRPr="008E4789">
        <w:rPr>
          <w:vertAlign w:val="subscript"/>
        </w:rPr>
        <w:t>N</w:t>
      </w:r>
      <w:r w:rsidR="008E4789">
        <w:t xml:space="preserve"> is not a necessary condition for the taxonomy </w:t>
      </w:r>
      <w:r w:rsidR="000D2D6C">
        <w:t xml:space="preserve">as it is absent when </w:t>
      </w:r>
      <w:r w:rsidR="008E4789">
        <w:t>lightning kill</w:t>
      </w:r>
      <w:r w:rsidR="000D2D6C">
        <w:t>s</w:t>
      </w:r>
      <w:r w:rsidR="008E4789">
        <w:t>.</w:t>
      </w:r>
      <w:r w:rsidR="000770D5">
        <w:rPr>
          <w:rStyle w:val="FootnoteReference"/>
        </w:rPr>
        <w:footnoteReference w:id="16"/>
      </w:r>
      <w:r w:rsidR="008E4789">
        <w:t xml:space="preserve"> </w:t>
      </w:r>
      <w:r w:rsidR="00B4707A">
        <w:t xml:space="preserve">Making </w:t>
      </w:r>
      <w:r w:rsidR="00764CEA">
        <w:t>normativity</w:t>
      </w:r>
      <w:r w:rsidR="00B4707A">
        <w:t xml:space="preserve"> part of the meaning for </w:t>
      </w:r>
      <w:r w:rsidR="00B4707A" w:rsidRPr="00B4707A">
        <w:rPr>
          <w:i/>
        </w:rPr>
        <w:t>some</w:t>
      </w:r>
      <w:r w:rsidR="00B4707A">
        <w:t xml:space="preserve"> killings introduces an ambiguity in the words that could be avoided by the adjectival approach which will also provide any desired condemnation.</w:t>
      </w:r>
    </w:p>
    <w:p w:rsidR="000F26E6" w:rsidRPr="005C68BF" w:rsidRDefault="00E42A6F" w:rsidP="00E83925">
      <w:pPr>
        <w:autoSpaceDE w:val="0"/>
        <w:autoSpaceDN w:val="0"/>
        <w:adjustRightInd w:val="0"/>
        <w:spacing w:after="0" w:line="480" w:lineRule="auto"/>
        <w:ind w:firstLine="720"/>
        <w:rPr>
          <w:rFonts w:cs="ITCGaramondStd-Lt"/>
          <w:color w:val="000000"/>
        </w:rPr>
      </w:pPr>
      <w:r>
        <w:rPr>
          <w:rFonts w:cs="ITCGaramondStd-Lt"/>
          <w:color w:val="000000"/>
        </w:rPr>
        <w:t xml:space="preserve">While not exhaustive, killing and letting die are exclusive. An event is not both </w:t>
      </w:r>
      <w:r w:rsidR="00995DED">
        <w:rPr>
          <w:rFonts w:cs="ITCGaramondStd-Lt"/>
          <w:color w:val="000000"/>
        </w:rPr>
        <w:t xml:space="preserve">a case of </w:t>
      </w:r>
      <w:r>
        <w:rPr>
          <w:rFonts w:cs="ITCGaramondStd-Lt"/>
          <w:color w:val="000000"/>
        </w:rPr>
        <w:t>killing and letting die.</w:t>
      </w:r>
      <w:r>
        <w:rPr>
          <w:rStyle w:val="FootnoteReference"/>
          <w:rFonts w:cs="ITCGaramondStd-Lt"/>
          <w:color w:val="000000"/>
        </w:rPr>
        <w:footnoteReference w:id="17"/>
      </w:r>
      <w:r w:rsidR="00103DFF">
        <w:rPr>
          <w:rFonts w:cs="ITCGaramondStd-Lt"/>
          <w:color w:val="000000"/>
        </w:rPr>
        <w:t xml:space="preserve"> </w:t>
      </w:r>
      <w:r>
        <w:rPr>
          <w:rFonts w:cs="ITCGaramondStd-Lt"/>
          <w:color w:val="000000"/>
        </w:rPr>
        <w:t xml:space="preserve">I </w:t>
      </w:r>
      <w:r w:rsidR="00103DFF">
        <w:rPr>
          <w:rFonts w:cs="ITCGaramondStd-Lt"/>
          <w:color w:val="000000"/>
        </w:rPr>
        <w:t>have claimed that</w:t>
      </w:r>
      <w:r w:rsidR="00936502">
        <w:rPr>
          <w:rFonts w:cs="ITCGaramondStd-Lt"/>
          <w:color w:val="000000"/>
        </w:rPr>
        <w:t xml:space="preserve"> the rough idea of </w:t>
      </w:r>
      <w:r>
        <w:rPr>
          <w:rFonts w:cs="ITCGaramondStd-Lt"/>
          <w:color w:val="000000"/>
        </w:rPr>
        <w:t xml:space="preserve">X </w:t>
      </w:r>
      <w:r w:rsidR="00936502">
        <w:rPr>
          <w:rFonts w:cs="ITCGaramondStd-Lt"/>
          <w:color w:val="000000"/>
        </w:rPr>
        <w:t xml:space="preserve">letting </w:t>
      </w:r>
      <w:r>
        <w:rPr>
          <w:rFonts w:cs="ITCGaramondStd-Lt"/>
          <w:color w:val="000000"/>
        </w:rPr>
        <w:t xml:space="preserve">Y die </w:t>
      </w:r>
      <w:r w:rsidR="00936502">
        <w:rPr>
          <w:rFonts w:cs="ITCGaramondStd-Lt"/>
          <w:color w:val="000000"/>
        </w:rPr>
        <w:t>is that Y</w:t>
      </w:r>
      <w:r>
        <w:rPr>
          <w:rFonts w:cs="ITCGaramondStd-Lt"/>
          <w:color w:val="000000"/>
        </w:rPr>
        <w:t xml:space="preserve"> </w:t>
      </w:r>
      <w:r w:rsidR="00936502">
        <w:rPr>
          <w:rFonts w:cs="ITCGaramondStd-Lt"/>
          <w:color w:val="000000"/>
        </w:rPr>
        <w:t>doesn’t receive from X life sustaining support</w:t>
      </w:r>
      <w:r>
        <w:rPr>
          <w:rFonts w:cs="ITCGaramondStd-Lt"/>
          <w:color w:val="000000"/>
        </w:rPr>
        <w:t>.</w:t>
      </w:r>
      <w:r w:rsidR="006E3FD7">
        <w:rPr>
          <w:rStyle w:val="FootnoteReference"/>
          <w:rFonts w:cs="ITCGaramondStd-Lt"/>
          <w:color w:val="000000"/>
        </w:rPr>
        <w:footnoteReference w:id="18"/>
      </w:r>
      <w:r w:rsidR="00995DED">
        <w:rPr>
          <w:rFonts w:cs="ITCGaramondStd-Lt"/>
          <w:color w:val="000000"/>
        </w:rPr>
        <w:t xml:space="preserve">  </w:t>
      </w:r>
      <w:r w:rsidR="00103DFF">
        <w:rPr>
          <w:rFonts w:cs="ITCGaramondStd-Lt"/>
          <w:color w:val="000000"/>
        </w:rPr>
        <w:t>Now t</w:t>
      </w:r>
      <w:r>
        <w:rPr>
          <w:rFonts w:cs="ITCGaramondStd-Lt"/>
          <w:color w:val="000000"/>
        </w:rPr>
        <w:t xml:space="preserve">he rough idea of X killing Y is X is physically imposing a </w:t>
      </w:r>
      <w:r>
        <w:rPr>
          <w:rFonts w:cs="ITCGaramondStd-Lt"/>
          <w:color w:val="000000"/>
        </w:rPr>
        <w:lastRenderedPageBreak/>
        <w:t>fatal pathology in Y. Th</w:t>
      </w:r>
      <w:r w:rsidR="006250EB">
        <w:rPr>
          <w:rFonts w:cs="ITCGaramondStd-Lt"/>
          <w:color w:val="000000"/>
        </w:rPr>
        <w:t>e word</w:t>
      </w:r>
      <w:r w:rsidR="00764CEA">
        <w:rPr>
          <w:rFonts w:cs="ITCGaramondStd-Lt"/>
          <w:color w:val="000000"/>
        </w:rPr>
        <w:t>s</w:t>
      </w:r>
      <w:r w:rsidR="006250EB">
        <w:rPr>
          <w:rFonts w:cs="ITCGaramondStd-Lt"/>
          <w:color w:val="000000"/>
        </w:rPr>
        <w:t xml:space="preserve"> “physical</w:t>
      </w:r>
      <w:r w:rsidR="00764CEA">
        <w:rPr>
          <w:rFonts w:cs="ITCGaramondStd-Lt"/>
          <w:color w:val="000000"/>
        </w:rPr>
        <w:t>ly impos</w:t>
      </w:r>
      <w:r w:rsidR="000D2D6C">
        <w:rPr>
          <w:rFonts w:cs="ITCGaramondStd-Lt"/>
          <w:color w:val="000000"/>
        </w:rPr>
        <w:t>ing</w:t>
      </w:r>
      <w:r w:rsidR="00936502">
        <w:rPr>
          <w:rFonts w:cs="ITCGaramondStd-Lt"/>
          <w:color w:val="000000"/>
        </w:rPr>
        <w:t>”</w:t>
      </w:r>
      <w:r w:rsidR="006250EB">
        <w:rPr>
          <w:rFonts w:cs="ITCGaramondStd-Lt"/>
          <w:color w:val="000000"/>
        </w:rPr>
        <w:t xml:space="preserve"> </w:t>
      </w:r>
      <w:r w:rsidR="00761DCF">
        <w:rPr>
          <w:rFonts w:cs="ITCGaramondStd-Lt"/>
          <w:color w:val="000000"/>
        </w:rPr>
        <w:t>are</w:t>
      </w:r>
      <w:r w:rsidR="006250EB">
        <w:rPr>
          <w:rFonts w:cs="ITCGaramondStd-Lt"/>
          <w:color w:val="000000"/>
        </w:rPr>
        <w:t xml:space="preserve"> added to rule </w:t>
      </w:r>
      <w:r w:rsidR="00103DFF">
        <w:rPr>
          <w:rFonts w:cs="ITCGaramondStd-Lt"/>
          <w:color w:val="000000"/>
        </w:rPr>
        <w:t xml:space="preserve">out </w:t>
      </w:r>
      <w:r>
        <w:rPr>
          <w:rFonts w:cs="ITCGaramondStd-Lt"/>
          <w:color w:val="000000"/>
        </w:rPr>
        <w:t>omissions which make a difference but don’t physically transmit force.</w:t>
      </w:r>
      <w:r w:rsidR="00103DFF">
        <w:rPr>
          <w:rStyle w:val="FootnoteReference"/>
          <w:rFonts w:cs="ITCGaramondStd-Lt"/>
          <w:color w:val="000000"/>
        </w:rPr>
        <w:footnoteReference w:id="19"/>
      </w:r>
      <w:r>
        <w:rPr>
          <w:rFonts w:cs="ITCGaramondStd-Lt"/>
          <w:color w:val="000000"/>
        </w:rPr>
        <w:t xml:space="preserve"> </w:t>
      </w:r>
      <w:r w:rsidR="00103DFF">
        <w:rPr>
          <w:rFonts w:cs="ITCGaramondStd-Lt"/>
          <w:color w:val="000000"/>
        </w:rPr>
        <w:t xml:space="preserve">I am not claiming </w:t>
      </w:r>
      <w:r w:rsidR="002B3A94">
        <w:rPr>
          <w:rFonts w:cs="ITCGaramondStd-Lt"/>
          <w:color w:val="000000"/>
        </w:rPr>
        <w:t xml:space="preserve">that </w:t>
      </w:r>
      <w:r w:rsidR="00103DFF">
        <w:rPr>
          <w:rFonts w:cs="ITCGaramondStd-Lt"/>
          <w:color w:val="000000"/>
        </w:rPr>
        <w:t xml:space="preserve">a transfer of </w:t>
      </w:r>
      <w:r w:rsidR="002B3A94">
        <w:rPr>
          <w:rFonts w:cs="ITCGaramondStd-Lt"/>
          <w:color w:val="000000"/>
        </w:rPr>
        <w:t>energy is necessary or sufficient for causation</w:t>
      </w:r>
      <w:r w:rsidR="00103DFF">
        <w:rPr>
          <w:rFonts w:cs="ITCGaramondStd-Lt"/>
          <w:color w:val="000000"/>
        </w:rPr>
        <w:t xml:space="preserve">. As I mentioned above, </w:t>
      </w:r>
      <w:r w:rsidR="001A6C79">
        <w:rPr>
          <w:rFonts w:cs="ITCGaramondStd-Lt"/>
          <w:color w:val="000000"/>
        </w:rPr>
        <w:t xml:space="preserve">my strategy is to </w:t>
      </w:r>
      <w:r w:rsidR="00103DFF">
        <w:rPr>
          <w:rFonts w:cs="ITCGaramondStd-Lt"/>
          <w:color w:val="000000"/>
        </w:rPr>
        <w:t>avoid making the killing/letting distinction depend upon the conclusion of the philosophical debate about causation.</w:t>
      </w:r>
      <w:r w:rsidR="001A6C79">
        <w:rPr>
          <w:rStyle w:val="FootnoteReference"/>
          <w:rFonts w:cs="ITCGaramondStd-Lt"/>
          <w:color w:val="000000"/>
        </w:rPr>
        <w:footnoteReference w:id="20"/>
      </w:r>
      <w:r w:rsidR="00103DFF">
        <w:rPr>
          <w:rFonts w:cs="ITCGaramondStd-Lt"/>
          <w:color w:val="000000"/>
        </w:rPr>
        <w:t xml:space="preserve"> </w:t>
      </w:r>
      <w:r w:rsidR="00E0583A">
        <w:rPr>
          <w:rFonts w:cs="ITCGaramondStd-Lt"/>
          <w:color w:val="000000"/>
        </w:rPr>
        <w:t xml:space="preserve">I am just </w:t>
      </w:r>
      <w:r w:rsidR="00AE6050">
        <w:rPr>
          <w:rFonts w:cs="ITCGaramondStd-Lt"/>
          <w:color w:val="000000"/>
        </w:rPr>
        <w:t xml:space="preserve">suggesting </w:t>
      </w:r>
      <w:r w:rsidR="00E0583A">
        <w:rPr>
          <w:rFonts w:cs="ITCGaramondStd-Lt"/>
          <w:color w:val="000000"/>
        </w:rPr>
        <w:t xml:space="preserve">that the </w:t>
      </w:r>
      <w:r w:rsidR="00B4707A">
        <w:rPr>
          <w:rFonts w:cs="ITCGaramondStd-Lt"/>
          <w:color w:val="000000"/>
        </w:rPr>
        <w:t xml:space="preserve">method </w:t>
      </w:r>
      <w:r w:rsidR="00E0583A">
        <w:rPr>
          <w:rFonts w:cs="ITCGaramondStd-Lt"/>
          <w:color w:val="000000"/>
        </w:rPr>
        <w:t xml:space="preserve">of reflective equilibrium will reveal </w:t>
      </w:r>
      <w:r w:rsidR="00B4707A">
        <w:rPr>
          <w:rFonts w:cs="ITCGaramondStd-Lt"/>
          <w:color w:val="000000"/>
        </w:rPr>
        <w:t xml:space="preserve">that </w:t>
      </w:r>
      <w:r w:rsidR="00DA4E23">
        <w:rPr>
          <w:rFonts w:cs="ITCGaramondStd-Lt"/>
          <w:color w:val="000000"/>
        </w:rPr>
        <w:t>killings</w:t>
      </w:r>
      <w:r w:rsidR="00E0583A">
        <w:rPr>
          <w:rFonts w:cs="ITCGaramondStd-Lt"/>
          <w:color w:val="000000"/>
        </w:rPr>
        <w:t xml:space="preserve"> involve the imposition of a fatal pathology.</w:t>
      </w:r>
      <w:r w:rsidR="00E0583A">
        <w:rPr>
          <w:rStyle w:val="FootnoteReference"/>
          <w:rFonts w:cs="ITCGaramondStd-Lt"/>
          <w:color w:val="000000"/>
        </w:rPr>
        <w:footnoteReference w:id="21"/>
      </w:r>
      <w:r w:rsidR="00E0583A">
        <w:rPr>
          <w:rFonts w:cs="ITCGaramondStd-Lt"/>
          <w:color w:val="000000"/>
        </w:rPr>
        <w:t xml:space="preserve"> </w:t>
      </w:r>
      <w:r w:rsidR="00936502">
        <w:rPr>
          <w:rFonts w:cs="ITCGaramondStd-Lt"/>
          <w:color w:val="000000"/>
        </w:rPr>
        <w:t xml:space="preserve">This first approximation </w:t>
      </w:r>
      <w:r w:rsidR="006250EB">
        <w:rPr>
          <w:rFonts w:cs="ITCGaramondStd-Lt"/>
          <w:color w:val="000000"/>
        </w:rPr>
        <w:t xml:space="preserve">of </w:t>
      </w:r>
      <w:r w:rsidR="00B4707A">
        <w:rPr>
          <w:rFonts w:cs="ITCGaramondStd-Lt"/>
          <w:color w:val="000000"/>
        </w:rPr>
        <w:t xml:space="preserve">what it is for </w:t>
      </w:r>
      <w:r w:rsidR="006250EB">
        <w:rPr>
          <w:rFonts w:cs="ITCGaramondStd-Lt"/>
          <w:color w:val="000000"/>
        </w:rPr>
        <w:t xml:space="preserve">X </w:t>
      </w:r>
      <w:r w:rsidR="00B4707A">
        <w:rPr>
          <w:rFonts w:cs="ITCGaramondStd-Lt"/>
          <w:color w:val="000000"/>
        </w:rPr>
        <w:t xml:space="preserve">to kill </w:t>
      </w:r>
      <w:r w:rsidR="006250EB">
        <w:rPr>
          <w:rFonts w:cs="ITCGaramondStd-Lt"/>
          <w:color w:val="000000"/>
        </w:rPr>
        <w:t xml:space="preserve">Y </w:t>
      </w:r>
      <w:r w:rsidR="00936502">
        <w:rPr>
          <w:rFonts w:cs="ITCGaramondStd-Lt"/>
          <w:color w:val="000000"/>
        </w:rPr>
        <w:t>mean</w:t>
      </w:r>
      <w:r w:rsidR="00B4707A">
        <w:rPr>
          <w:rFonts w:cs="ITCGaramondStd-Lt"/>
          <w:color w:val="000000"/>
        </w:rPr>
        <w:t>s</w:t>
      </w:r>
      <w:r w:rsidR="00936502">
        <w:rPr>
          <w:rFonts w:cs="ITCGaramondStd-Lt"/>
          <w:color w:val="000000"/>
        </w:rPr>
        <w:t xml:space="preserve"> that </w:t>
      </w:r>
      <w:r w:rsidR="006250EB">
        <w:rPr>
          <w:rFonts w:cs="ITCGaramondStd-Lt"/>
          <w:color w:val="000000"/>
        </w:rPr>
        <w:t xml:space="preserve">withdrawing aid physically </w:t>
      </w:r>
      <w:r w:rsidR="00300A6C">
        <w:rPr>
          <w:rFonts w:cs="ITCGaramondStd-Lt"/>
          <w:color w:val="000000"/>
        </w:rPr>
        <w:t>(re)</w:t>
      </w:r>
      <w:r w:rsidR="006250EB">
        <w:rPr>
          <w:rFonts w:cs="ITCGaramondStd-Lt"/>
          <w:color w:val="000000"/>
        </w:rPr>
        <w:t>impose</w:t>
      </w:r>
      <w:r w:rsidR="00B4707A">
        <w:rPr>
          <w:rFonts w:cs="ITCGaramondStd-Lt"/>
          <w:color w:val="000000"/>
        </w:rPr>
        <w:t>s</w:t>
      </w:r>
      <w:r w:rsidR="006250EB">
        <w:rPr>
          <w:rFonts w:cs="ITCGaramondStd-Lt"/>
          <w:color w:val="000000"/>
        </w:rPr>
        <w:t xml:space="preserve"> a </w:t>
      </w:r>
      <w:r w:rsidR="007D43A5">
        <w:rPr>
          <w:rFonts w:cs="ITCGaramondStd-Lt"/>
          <w:color w:val="000000"/>
        </w:rPr>
        <w:t xml:space="preserve">lethal </w:t>
      </w:r>
      <w:r w:rsidR="006250EB">
        <w:rPr>
          <w:rFonts w:cs="ITCGaramondStd-Lt"/>
          <w:color w:val="000000"/>
        </w:rPr>
        <w:t>pathology upon Y</w:t>
      </w:r>
      <w:r w:rsidR="00E0583A">
        <w:rPr>
          <w:rFonts w:cs="ITCGaramondStd-Lt"/>
          <w:color w:val="000000"/>
        </w:rPr>
        <w:t>,</w:t>
      </w:r>
      <w:r w:rsidR="00300A6C">
        <w:rPr>
          <w:rFonts w:cs="ITCGaramondStd-Lt"/>
          <w:color w:val="000000"/>
        </w:rPr>
        <w:t xml:space="preserve"> just as destroying a dam </w:t>
      </w:r>
      <w:r w:rsidR="007D43A5">
        <w:rPr>
          <w:rFonts w:cs="ITCGaramondStd-Lt"/>
          <w:color w:val="000000"/>
        </w:rPr>
        <w:t xml:space="preserve">might reimpose </w:t>
      </w:r>
      <w:r w:rsidR="00300A6C">
        <w:rPr>
          <w:rFonts w:cs="ITCGaramondStd-Lt"/>
          <w:color w:val="000000"/>
        </w:rPr>
        <w:t xml:space="preserve">a </w:t>
      </w:r>
      <w:r w:rsidR="009733E9">
        <w:rPr>
          <w:rFonts w:cs="ITCGaramondStd-Lt"/>
          <w:color w:val="000000"/>
        </w:rPr>
        <w:t>threat of flooding</w:t>
      </w:r>
      <w:r w:rsidR="00300A6C">
        <w:rPr>
          <w:rFonts w:cs="ITCGaramondStd-Lt"/>
          <w:color w:val="000000"/>
        </w:rPr>
        <w:t>. So</w:t>
      </w:r>
      <w:r w:rsidR="00936502">
        <w:rPr>
          <w:rFonts w:cs="ITCGaramondStd-Lt"/>
          <w:color w:val="000000"/>
        </w:rPr>
        <w:t>,</w:t>
      </w:r>
      <w:r w:rsidR="00300A6C">
        <w:rPr>
          <w:rFonts w:cs="ITCGaramondStd-Lt"/>
          <w:color w:val="000000"/>
        </w:rPr>
        <w:t xml:space="preserve"> withdrawing aid would be killing Y. But given </w:t>
      </w:r>
      <w:r w:rsidR="006E3FD7">
        <w:rPr>
          <w:rFonts w:cs="ITCGaramondStd-Lt"/>
          <w:color w:val="000000"/>
        </w:rPr>
        <w:t xml:space="preserve">my </w:t>
      </w:r>
      <w:r w:rsidR="00300A6C">
        <w:rPr>
          <w:rFonts w:cs="ITCGaramondStd-Lt"/>
          <w:color w:val="000000"/>
        </w:rPr>
        <w:t>account of letting die</w:t>
      </w:r>
      <w:r w:rsidR="007D43A5">
        <w:rPr>
          <w:rFonts w:cs="ITCGaramondStd-Lt"/>
          <w:color w:val="000000"/>
        </w:rPr>
        <w:t xml:space="preserve"> as</w:t>
      </w:r>
      <w:r w:rsidR="00300A6C">
        <w:rPr>
          <w:rFonts w:cs="ITCGaramondStd-Lt"/>
          <w:color w:val="000000"/>
        </w:rPr>
        <w:t xml:space="preserve"> Y loses out on a</w:t>
      </w:r>
      <w:r w:rsidR="006E3FD7">
        <w:rPr>
          <w:rFonts w:cs="ITCGaramondStd-Lt"/>
          <w:color w:val="000000"/>
        </w:rPr>
        <w:t>dditional</w:t>
      </w:r>
      <w:r w:rsidR="00300A6C">
        <w:rPr>
          <w:rFonts w:cs="ITCGaramondStd-Lt"/>
          <w:color w:val="000000"/>
        </w:rPr>
        <w:t xml:space="preserve"> life that X’s support</w:t>
      </w:r>
      <w:r w:rsidR="001070B2">
        <w:rPr>
          <w:rFonts w:cs="ITCGaramondStd-Lt"/>
          <w:color w:val="000000"/>
        </w:rPr>
        <w:t xml:space="preserve"> </w:t>
      </w:r>
      <w:r w:rsidR="004941BD">
        <w:rPr>
          <w:rFonts w:cs="ITCGaramondStd-Lt"/>
          <w:color w:val="000000"/>
        </w:rPr>
        <w:t xml:space="preserve">could </w:t>
      </w:r>
      <w:r w:rsidR="001070B2">
        <w:rPr>
          <w:rFonts w:cs="ITCGaramondStd-Lt"/>
          <w:color w:val="000000"/>
        </w:rPr>
        <w:t>pr</w:t>
      </w:r>
      <w:r w:rsidR="00734776">
        <w:rPr>
          <w:rFonts w:cs="ITCGaramondStd-Lt"/>
          <w:color w:val="000000"/>
        </w:rPr>
        <w:t>ovide</w:t>
      </w:r>
      <w:r w:rsidR="00300A6C">
        <w:rPr>
          <w:rFonts w:cs="ITCGaramondStd-Lt"/>
          <w:color w:val="000000"/>
        </w:rPr>
        <w:t>, then X’s withdrawing his life support of Y would also qualify as a case of letting die. So</w:t>
      </w:r>
      <w:r w:rsidR="006E3FD7">
        <w:rPr>
          <w:rFonts w:cs="ITCGaramondStd-Lt"/>
          <w:color w:val="000000"/>
        </w:rPr>
        <w:t>,</w:t>
      </w:r>
      <w:r w:rsidR="00300A6C">
        <w:rPr>
          <w:rFonts w:cs="ITCGaramondStd-Lt"/>
          <w:color w:val="000000"/>
        </w:rPr>
        <w:t xml:space="preserve"> the same withdrawal </w:t>
      </w:r>
      <w:r w:rsidR="00657ED4">
        <w:rPr>
          <w:rFonts w:cs="ITCGaramondStd-Lt"/>
          <w:color w:val="000000"/>
        </w:rPr>
        <w:t xml:space="preserve">event </w:t>
      </w:r>
      <w:r w:rsidR="00300A6C">
        <w:rPr>
          <w:rFonts w:cs="ITCGaramondStd-Lt"/>
          <w:color w:val="000000"/>
        </w:rPr>
        <w:t xml:space="preserve">would be both a killing and letting die. That is very peculiar. Even worse would be claiming </w:t>
      </w:r>
      <w:r w:rsidR="007D43A5">
        <w:rPr>
          <w:rFonts w:cs="ITCGaramondStd-Lt"/>
          <w:color w:val="000000"/>
        </w:rPr>
        <w:t xml:space="preserve">that </w:t>
      </w:r>
      <w:r w:rsidR="00300A6C">
        <w:rPr>
          <w:rFonts w:cs="ITCGaramondStd-Lt"/>
          <w:color w:val="000000"/>
        </w:rPr>
        <w:t>the withdraw</w:t>
      </w:r>
      <w:r w:rsidR="00DE5939">
        <w:rPr>
          <w:rFonts w:cs="ITCGaramondStd-Lt"/>
          <w:color w:val="000000"/>
        </w:rPr>
        <w:t>al</w:t>
      </w:r>
      <w:r w:rsidR="00300A6C">
        <w:rPr>
          <w:rFonts w:cs="ITCGaramondStd-Lt"/>
          <w:color w:val="000000"/>
        </w:rPr>
        <w:t xml:space="preserve"> </w:t>
      </w:r>
      <w:r w:rsidR="001070B2">
        <w:rPr>
          <w:rFonts w:cs="ITCGaramondStd-Lt"/>
          <w:color w:val="000000"/>
        </w:rPr>
        <w:t>is</w:t>
      </w:r>
      <w:r w:rsidR="00300A6C">
        <w:rPr>
          <w:rFonts w:cs="ITCGaramondStd-Lt"/>
          <w:color w:val="000000"/>
        </w:rPr>
        <w:t xml:space="preserve"> actually two </w:t>
      </w:r>
      <w:r w:rsidR="00DA4E23">
        <w:rPr>
          <w:rFonts w:cs="ITCGaramondStd-Lt"/>
          <w:color w:val="000000"/>
        </w:rPr>
        <w:t xml:space="preserve">simultaneous </w:t>
      </w:r>
      <w:r w:rsidR="00300A6C">
        <w:rPr>
          <w:rFonts w:cs="ITCGaramondStd-Lt"/>
          <w:color w:val="000000"/>
        </w:rPr>
        <w:t xml:space="preserve">events that overdetermine the patient’s death. </w:t>
      </w:r>
      <w:r w:rsidR="00DA502F">
        <w:rPr>
          <w:rFonts w:cs="ITCGaramondStd-Lt"/>
          <w:color w:val="000000"/>
        </w:rPr>
        <w:t>Therefore</w:t>
      </w:r>
      <w:r w:rsidR="006E3FD7">
        <w:rPr>
          <w:rFonts w:cs="ITCGaramondStd-Lt"/>
          <w:color w:val="000000"/>
        </w:rPr>
        <w:t xml:space="preserve">, </w:t>
      </w:r>
      <w:r w:rsidR="00300A6C">
        <w:rPr>
          <w:rFonts w:cs="ITCGaramondStd-Lt"/>
          <w:color w:val="000000"/>
        </w:rPr>
        <w:t xml:space="preserve">if we don’t want to modify our account of letting die, </w:t>
      </w:r>
      <w:r w:rsidR="00936502">
        <w:rPr>
          <w:rFonts w:cs="ITCGaramondStd-Lt"/>
          <w:color w:val="000000"/>
        </w:rPr>
        <w:t xml:space="preserve">which seems the more intuitive, </w:t>
      </w:r>
      <w:r w:rsidR="00300A6C">
        <w:rPr>
          <w:rFonts w:cs="ITCGaramondStd-Lt"/>
          <w:color w:val="000000"/>
        </w:rPr>
        <w:t xml:space="preserve">we should modify the account of killing. Given that </w:t>
      </w:r>
      <w:r>
        <w:rPr>
          <w:rFonts w:cs="ITCGaramondStd-Lt"/>
          <w:color w:val="000000"/>
        </w:rPr>
        <w:t xml:space="preserve">killing and letting must be exclusive, then </w:t>
      </w:r>
      <w:r w:rsidR="00300A6C">
        <w:rPr>
          <w:rFonts w:cs="ITCGaramondStd-Lt"/>
          <w:color w:val="000000"/>
        </w:rPr>
        <w:t xml:space="preserve">the above idea of </w:t>
      </w:r>
      <w:r>
        <w:rPr>
          <w:rFonts w:cs="ITCGaramondStd-Lt"/>
          <w:color w:val="000000"/>
        </w:rPr>
        <w:lastRenderedPageBreak/>
        <w:t>X kill</w:t>
      </w:r>
      <w:r w:rsidR="00300A6C">
        <w:rPr>
          <w:rFonts w:cs="ITCGaramondStd-Lt"/>
          <w:color w:val="000000"/>
        </w:rPr>
        <w:t xml:space="preserve">ing Y </w:t>
      </w:r>
      <w:r w:rsidR="00936502">
        <w:rPr>
          <w:rFonts w:cs="ITCGaramondStd-Lt"/>
          <w:color w:val="000000"/>
        </w:rPr>
        <w:t>should</w:t>
      </w:r>
      <w:r>
        <w:rPr>
          <w:rFonts w:cs="ITCGaramondStd-Lt"/>
          <w:color w:val="000000"/>
        </w:rPr>
        <w:t xml:space="preserve"> be fine-tuned as </w:t>
      </w:r>
      <w:bookmarkStart w:id="7" w:name="_Hlk69482313"/>
      <w:r w:rsidRPr="005C68BF">
        <w:rPr>
          <w:rFonts w:cs="ITCGaramondStd-Lt"/>
          <w:color w:val="000000"/>
        </w:rPr>
        <w:t>“</w:t>
      </w:r>
      <w:r w:rsidR="00DB025D" w:rsidRPr="005C68BF">
        <w:t>X originally imposes a fatal pathology or X reimposes a fatal threat that X did not originate but had been preventing.”</w:t>
      </w:r>
      <w:bookmarkEnd w:id="7"/>
      <w:r w:rsidR="00DB025D" w:rsidRPr="005C68BF">
        <w:rPr>
          <w:rStyle w:val="FootnoteReference"/>
          <w:rFonts w:cs="ITCGaramondStd-Lt"/>
          <w:color w:val="000000"/>
        </w:rPr>
        <w:footnoteReference w:id="22"/>
      </w:r>
    </w:p>
    <w:p w:rsidR="009C6316" w:rsidRDefault="0033232B" w:rsidP="00371AF3">
      <w:pPr>
        <w:spacing w:after="0" w:line="480" w:lineRule="auto"/>
        <w:jc w:val="center"/>
        <w:rPr>
          <w:b/>
          <w:sz w:val="30"/>
          <w:szCs w:val="30"/>
        </w:rPr>
      </w:pPr>
      <w:r w:rsidRPr="0033232B">
        <w:rPr>
          <w:b/>
          <w:sz w:val="30"/>
          <w:szCs w:val="30"/>
        </w:rPr>
        <w:t>Part II</w:t>
      </w:r>
      <w:r w:rsidR="00D96359" w:rsidRPr="0033232B">
        <w:rPr>
          <w:b/>
          <w:sz w:val="30"/>
          <w:szCs w:val="30"/>
        </w:rPr>
        <w:t>. Extraction Abortions</w:t>
      </w:r>
    </w:p>
    <w:p w:rsidR="00371AF3" w:rsidRPr="00371AF3" w:rsidRDefault="00371AF3" w:rsidP="00371AF3">
      <w:pPr>
        <w:autoSpaceDE w:val="0"/>
        <w:autoSpaceDN w:val="0"/>
        <w:adjustRightInd w:val="0"/>
        <w:spacing w:after="0" w:line="480" w:lineRule="auto"/>
        <w:jc w:val="center"/>
        <w:rPr>
          <w:rFonts w:cs="ITCGaramondStd-Lt"/>
          <w:b/>
          <w:color w:val="000000"/>
        </w:rPr>
      </w:pPr>
      <w:r>
        <w:rPr>
          <w:rFonts w:cs="ITCGaramondStd-Lt"/>
          <w:b/>
          <w:color w:val="000000"/>
        </w:rPr>
        <w:t xml:space="preserve">A. </w:t>
      </w:r>
      <w:r w:rsidRPr="00371AF3">
        <w:rPr>
          <w:rFonts w:cs="ITCGaramondStd-Lt"/>
          <w:b/>
          <w:color w:val="000000"/>
        </w:rPr>
        <w:t>Unsuccessful Arguments against the Abortion Pill</w:t>
      </w:r>
    </w:p>
    <w:p w:rsidR="00AF6450" w:rsidRPr="00103DFF" w:rsidRDefault="005A67BD" w:rsidP="00E83925">
      <w:pPr>
        <w:autoSpaceDE w:val="0"/>
        <w:autoSpaceDN w:val="0"/>
        <w:adjustRightInd w:val="0"/>
        <w:spacing w:after="0" w:line="480" w:lineRule="auto"/>
        <w:ind w:firstLine="720"/>
        <w:rPr>
          <w:rFonts w:cs="ITCGaramondStd-Lt"/>
          <w:color w:val="000000"/>
        </w:rPr>
      </w:pPr>
      <w:r>
        <w:rPr>
          <w:rFonts w:cs="ITCGaramondStd-Lt"/>
          <w:color w:val="000000"/>
        </w:rPr>
        <w:t>Now that we are clear</w:t>
      </w:r>
      <w:r w:rsidR="00F5630B">
        <w:rPr>
          <w:rFonts w:cs="ITCGaramondStd-Lt"/>
          <w:color w:val="000000"/>
        </w:rPr>
        <w:t>er</w:t>
      </w:r>
      <w:r w:rsidR="002E0F39">
        <w:rPr>
          <w:rFonts w:cs="ITCGaramondStd-Lt"/>
          <w:color w:val="000000"/>
        </w:rPr>
        <w:t xml:space="preserve"> </w:t>
      </w:r>
      <w:r w:rsidR="004F0139">
        <w:rPr>
          <w:rFonts w:cs="ITCGaramondStd-Lt"/>
          <w:color w:val="000000"/>
        </w:rPr>
        <w:t xml:space="preserve">about how to </w:t>
      </w:r>
      <w:r w:rsidR="002E0F39">
        <w:rPr>
          <w:rFonts w:cs="ITCGaramondStd-Lt"/>
          <w:color w:val="000000"/>
        </w:rPr>
        <w:t xml:space="preserve">distinguish </w:t>
      </w:r>
      <w:r>
        <w:rPr>
          <w:rFonts w:cs="ITCGaramondStd-Lt"/>
          <w:color w:val="000000"/>
        </w:rPr>
        <w:t>killing and letting die</w:t>
      </w:r>
      <w:r w:rsidR="002E0F39">
        <w:rPr>
          <w:rFonts w:cs="ITCGaramondStd-Lt"/>
          <w:color w:val="000000"/>
        </w:rPr>
        <w:t xml:space="preserve">, </w:t>
      </w:r>
      <w:r>
        <w:rPr>
          <w:rFonts w:cs="ITCGaramondStd-Lt"/>
          <w:color w:val="000000"/>
        </w:rPr>
        <w:t>let</w:t>
      </w:r>
      <w:r w:rsidR="002E0F39">
        <w:rPr>
          <w:rFonts w:cs="ITCGaramondStd-Lt"/>
          <w:color w:val="000000"/>
        </w:rPr>
        <w:t>’</w:t>
      </w:r>
      <w:r>
        <w:rPr>
          <w:rFonts w:cs="ITCGaramondStd-Lt"/>
          <w:color w:val="000000"/>
        </w:rPr>
        <w:t xml:space="preserve">s </w:t>
      </w:r>
      <w:r w:rsidR="002E0F39">
        <w:rPr>
          <w:rFonts w:cs="ITCGaramondStd-Lt"/>
          <w:color w:val="000000"/>
        </w:rPr>
        <w:t xml:space="preserve">apply what we have learned to </w:t>
      </w:r>
      <w:r>
        <w:rPr>
          <w:rFonts w:cs="ITCGaramondStd-Lt"/>
          <w:color w:val="000000"/>
        </w:rPr>
        <w:t xml:space="preserve">extraction abortions. </w:t>
      </w:r>
      <w:r w:rsidR="000F26E6">
        <w:rPr>
          <w:rFonts w:cs="ITCGaramondStd-Lt"/>
          <w:color w:val="000000"/>
        </w:rPr>
        <w:t xml:space="preserve">McMahan </w:t>
      </w:r>
      <w:r w:rsidR="00103DFF">
        <w:rPr>
          <w:rFonts w:cs="ITCGaramondStd-Lt"/>
          <w:color w:val="000000"/>
        </w:rPr>
        <w:t>distinguishes</w:t>
      </w:r>
      <w:r w:rsidR="000F26E6">
        <w:rPr>
          <w:rFonts w:cs="ITCGaramondStd-Lt"/>
          <w:color w:val="000000"/>
        </w:rPr>
        <w:t xml:space="preserve"> </w:t>
      </w:r>
      <w:r w:rsidR="00400A5A">
        <w:rPr>
          <w:rFonts w:cs="ITCGaramondStd-Lt"/>
          <w:color w:val="000000"/>
        </w:rPr>
        <w:t xml:space="preserve">“merely </w:t>
      </w:r>
      <w:r w:rsidR="00936502">
        <w:rPr>
          <w:rFonts w:cs="ITCGaramondStd-Lt"/>
          <w:color w:val="000000"/>
        </w:rPr>
        <w:t>extracti</w:t>
      </w:r>
      <w:r w:rsidR="00400A5A">
        <w:rPr>
          <w:rFonts w:cs="ITCGaramondStd-Lt"/>
          <w:color w:val="000000"/>
        </w:rPr>
        <w:t>ve</w:t>
      </w:r>
      <w:r w:rsidR="00936502">
        <w:rPr>
          <w:rFonts w:cs="ITCGaramondStd-Lt"/>
          <w:color w:val="000000"/>
        </w:rPr>
        <w:t xml:space="preserve"> abortion</w:t>
      </w:r>
      <w:r w:rsidR="00400A5A">
        <w:rPr>
          <w:rFonts w:cs="ITCGaramondStd-Lt"/>
          <w:color w:val="000000"/>
        </w:rPr>
        <w:t>s”</w:t>
      </w:r>
      <w:r w:rsidR="00936502">
        <w:rPr>
          <w:rFonts w:cs="ITCGaramondStd-Lt"/>
          <w:color w:val="000000"/>
        </w:rPr>
        <w:t xml:space="preserve"> from </w:t>
      </w:r>
      <w:r w:rsidR="000F26E6">
        <w:rPr>
          <w:rFonts w:cs="ITCGaramondStd-Lt"/>
          <w:color w:val="000000"/>
        </w:rPr>
        <w:t xml:space="preserve">standard abortions that dismember the fetus, crush </w:t>
      </w:r>
      <w:r w:rsidR="00103DFF">
        <w:rPr>
          <w:rFonts w:cs="ITCGaramondStd-Lt"/>
          <w:color w:val="000000"/>
        </w:rPr>
        <w:t xml:space="preserve">the </w:t>
      </w:r>
      <w:r w:rsidR="000F26E6">
        <w:rPr>
          <w:rFonts w:cs="ITCGaramondStd-Lt"/>
          <w:color w:val="000000"/>
        </w:rPr>
        <w:t xml:space="preserve">skull, </w:t>
      </w:r>
      <w:r w:rsidR="002B3A94">
        <w:rPr>
          <w:rFonts w:cs="ITCGaramondStd-Lt"/>
          <w:color w:val="000000"/>
        </w:rPr>
        <w:t xml:space="preserve">or </w:t>
      </w:r>
      <w:r w:rsidR="000F26E6">
        <w:rPr>
          <w:rFonts w:cs="ITCGaramondStd-Lt"/>
          <w:color w:val="000000"/>
        </w:rPr>
        <w:t xml:space="preserve">involve a lethal injection. </w:t>
      </w:r>
      <w:r w:rsidR="002E0F39">
        <w:rPr>
          <w:rFonts w:cs="ITCGaramondStd-Lt"/>
          <w:color w:val="000000"/>
        </w:rPr>
        <w:t xml:space="preserve">The </w:t>
      </w:r>
      <w:r w:rsidR="00936502">
        <w:rPr>
          <w:rFonts w:cs="ITCGaramondStd-Lt"/>
          <w:color w:val="000000"/>
        </w:rPr>
        <w:t xml:space="preserve">former </w:t>
      </w:r>
      <w:r w:rsidR="002E0F39">
        <w:rPr>
          <w:rFonts w:cs="ITCGaramondStd-Lt"/>
          <w:color w:val="000000"/>
        </w:rPr>
        <w:t>can “</w:t>
      </w:r>
      <w:r w:rsidR="000F26E6" w:rsidRPr="00103DFF">
        <w:rPr>
          <w:rFonts w:cs="ITCGaramondStd-Lt"/>
          <w:color w:val="000000"/>
        </w:rPr>
        <w:t>achieve the aim that most women have in aborting a pregnancy, all that is necessary is that the fetus should be removed from the woman's womb</w:t>
      </w:r>
      <w:r w:rsidR="002E0F39">
        <w:rPr>
          <w:rFonts w:cs="ITCGaramondStd-Lt"/>
          <w:color w:val="000000"/>
        </w:rPr>
        <w:t>…</w:t>
      </w:r>
      <w:r w:rsidR="000F26E6" w:rsidRPr="00103DFF">
        <w:rPr>
          <w:rFonts w:cs="ITCGaramondStd-Lt"/>
          <w:color w:val="000000"/>
        </w:rPr>
        <w:t xml:space="preserve"> without mangling or damaging the fetus's body in a way that causes its death.</w:t>
      </w:r>
      <w:r w:rsidR="002E0F39">
        <w:rPr>
          <w:rFonts w:cs="ITCGaramondStd-Lt"/>
          <w:color w:val="000000"/>
        </w:rPr>
        <w:t>”</w:t>
      </w:r>
      <w:r w:rsidR="000F26E6" w:rsidRPr="00FC171F">
        <w:rPr>
          <w:rFonts w:cs="ITCGaramondStd-Lt"/>
          <w:i/>
          <w:color w:val="000000"/>
        </w:rPr>
        <w:t xml:space="preserve"> </w:t>
      </w:r>
      <w:r w:rsidR="00103DFF">
        <w:rPr>
          <w:rFonts w:cs="ITCGaramondStd-Lt"/>
          <w:color w:val="000000"/>
        </w:rPr>
        <w:t>(</w:t>
      </w:r>
      <w:r w:rsidR="002E0F39">
        <w:rPr>
          <w:rFonts w:cs="ITCGaramondStd-Lt"/>
          <w:color w:val="000000"/>
        </w:rPr>
        <w:t>1993,</w:t>
      </w:r>
      <w:r w:rsidR="00400A5A">
        <w:rPr>
          <w:rFonts w:cs="ITCGaramondStd-Lt"/>
          <w:color w:val="000000"/>
        </w:rPr>
        <w:t xml:space="preserve"> 268</w:t>
      </w:r>
      <w:r w:rsidR="00103DFF">
        <w:rPr>
          <w:rFonts w:cs="ITCGaramondStd-Lt"/>
          <w:color w:val="000000"/>
        </w:rPr>
        <w:t>).</w:t>
      </w:r>
      <w:r w:rsidR="002E0F39">
        <w:rPr>
          <w:rFonts w:cs="ITCGaramondStd-Lt"/>
          <w:color w:val="000000"/>
        </w:rPr>
        <w:t xml:space="preserve"> McMahan believes that </w:t>
      </w:r>
      <w:r w:rsidR="004F0139">
        <w:rPr>
          <w:rFonts w:cs="ITCGaramondStd-Lt"/>
          <w:color w:val="000000"/>
        </w:rPr>
        <w:t xml:space="preserve">a </w:t>
      </w:r>
      <w:r w:rsidR="002E0F39">
        <w:rPr>
          <w:rFonts w:cs="ITCGaramondStd-Lt"/>
          <w:color w:val="000000"/>
        </w:rPr>
        <w:t>hysterotomy</w:t>
      </w:r>
      <w:r w:rsidR="00F23677">
        <w:rPr>
          <w:rStyle w:val="FootnoteReference"/>
          <w:rFonts w:cs="ITCGaramondStd-Lt"/>
          <w:color w:val="000000"/>
        </w:rPr>
        <w:footnoteReference w:id="23"/>
      </w:r>
      <w:r w:rsidR="002E0F39">
        <w:rPr>
          <w:rFonts w:cs="ITCGaramondStd-Lt"/>
          <w:color w:val="000000"/>
        </w:rPr>
        <w:t xml:space="preserve"> </w:t>
      </w:r>
      <w:r w:rsidR="004F0139">
        <w:rPr>
          <w:rFonts w:cs="ITCGaramondStd-Lt"/>
          <w:color w:val="000000"/>
        </w:rPr>
        <w:t xml:space="preserve">or pair of </w:t>
      </w:r>
      <w:r w:rsidR="002E0F39">
        <w:rPr>
          <w:rFonts w:cs="ITCGaramondStd-Lt"/>
          <w:color w:val="000000"/>
        </w:rPr>
        <w:t xml:space="preserve">abortion pills that detach the fetus from the uterine wall and then induce contractions </w:t>
      </w:r>
      <w:r w:rsidR="00470DE8">
        <w:rPr>
          <w:rFonts w:cs="ITCGaramondStd-Lt"/>
          <w:color w:val="000000"/>
        </w:rPr>
        <w:t>sh</w:t>
      </w:r>
      <w:r w:rsidR="002E0F39">
        <w:rPr>
          <w:rFonts w:cs="ITCGaramondStd-Lt"/>
          <w:color w:val="000000"/>
        </w:rPr>
        <w:t>ould be classified as extraction abortions.</w:t>
      </w:r>
    </w:p>
    <w:p w:rsidR="00862B7A" w:rsidRDefault="00A31CA4" w:rsidP="00E83925">
      <w:pPr>
        <w:autoSpaceDE w:val="0"/>
        <w:autoSpaceDN w:val="0"/>
        <w:adjustRightInd w:val="0"/>
        <w:spacing w:after="0" w:line="480" w:lineRule="auto"/>
        <w:ind w:firstLine="720"/>
        <w:rPr>
          <w:rFonts w:cs="ITCGaramondStd-Lt"/>
          <w:color w:val="000000"/>
        </w:rPr>
      </w:pPr>
      <w:r>
        <w:rPr>
          <w:rFonts w:cs="ITCGaramondStd-Lt"/>
          <w:color w:val="000000"/>
        </w:rPr>
        <w:t xml:space="preserve">I think </w:t>
      </w:r>
      <w:r w:rsidR="00D95CBE">
        <w:rPr>
          <w:rFonts w:cs="ITCGaramondStd-Lt"/>
          <w:color w:val="000000"/>
        </w:rPr>
        <w:t xml:space="preserve">that </w:t>
      </w:r>
      <w:r w:rsidR="003C0C64">
        <w:rPr>
          <w:rFonts w:cs="ITCGaramondStd-Lt"/>
          <w:color w:val="000000"/>
        </w:rPr>
        <w:t xml:space="preserve">hysterotomies are cases of </w:t>
      </w:r>
      <w:r>
        <w:rPr>
          <w:rFonts w:cs="ITCGaramondStd-Lt"/>
          <w:color w:val="000000"/>
        </w:rPr>
        <w:t>killing because the abortionists that withdraw embryos from their supportive environments did not provide the aid.</w:t>
      </w:r>
      <w:r w:rsidR="006934C7">
        <w:rPr>
          <w:rStyle w:val="FootnoteReference"/>
          <w:rFonts w:cs="ITCGaramondStd-Lt"/>
          <w:color w:val="000000"/>
        </w:rPr>
        <w:footnoteReference w:id="24"/>
      </w:r>
      <w:r>
        <w:rPr>
          <w:rFonts w:cs="ITCGaramondStd-Lt"/>
          <w:color w:val="000000"/>
        </w:rPr>
        <w:t xml:space="preserve"> </w:t>
      </w:r>
      <w:r w:rsidR="00862B7A">
        <w:rPr>
          <w:rFonts w:cs="ITCGaramondStd-Lt"/>
          <w:color w:val="000000"/>
        </w:rPr>
        <w:t xml:space="preserve">McMahan </w:t>
      </w:r>
      <w:r>
        <w:rPr>
          <w:rFonts w:cs="ITCGaramondStd-Lt"/>
          <w:color w:val="000000"/>
        </w:rPr>
        <w:t>disagrees</w:t>
      </w:r>
      <w:r w:rsidRPr="005C68BF">
        <w:rPr>
          <w:rFonts w:cs="ITCGaramondStd-Lt"/>
          <w:color w:val="000000"/>
        </w:rPr>
        <w:t xml:space="preserve">. </w:t>
      </w:r>
      <w:r w:rsidR="006934C7" w:rsidRPr="005C68BF">
        <w:t>Even though his previous formulation had been that withdrawing aid is killing when it is not done by the person(s) providing it, McMahan later maintains that if the provider of the aid authorizes someone else to remove the support, it is akin to the provider of the aid doing so herself (1993, 26</w:t>
      </w:r>
      <w:r w:rsidR="00F23677" w:rsidRPr="005C68BF">
        <w:t>9</w:t>
      </w:r>
      <w:r w:rsidR="006934C7" w:rsidRPr="005C68BF">
        <w:t xml:space="preserve">). </w:t>
      </w:r>
      <w:r w:rsidR="00862B7A" w:rsidRPr="005C68BF">
        <w:rPr>
          <w:rFonts w:cs="ITCGaramondStd-Lt"/>
          <w:color w:val="000000"/>
        </w:rPr>
        <w:t xml:space="preserve">I </w:t>
      </w:r>
      <w:r w:rsidR="0084011C" w:rsidRPr="005C68BF">
        <w:rPr>
          <w:rFonts w:cs="ITCGaramondStd-Lt"/>
          <w:color w:val="000000"/>
        </w:rPr>
        <w:t xml:space="preserve">doubt </w:t>
      </w:r>
      <w:r w:rsidR="0084011C" w:rsidRPr="005C68BF">
        <w:rPr>
          <w:rFonts w:cs="ITCGaramondStd-Lt"/>
          <w:color w:val="000000"/>
        </w:rPr>
        <w:lastRenderedPageBreak/>
        <w:t xml:space="preserve">that </w:t>
      </w:r>
      <w:r w:rsidR="00862B7A" w:rsidRPr="005C68BF">
        <w:rPr>
          <w:rFonts w:cs="ITCGaramondStd-Lt"/>
          <w:color w:val="000000"/>
        </w:rPr>
        <w:t xml:space="preserve">McMahan </w:t>
      </w:r>
      <w:r w:rsidR="0084011C" w:rsidRPr="005C68BF">
        <w:rPr>
          <w:rFonts w:cs="ITCGaramondStd-Lt"/>
          <w:color w:val="000000"/>
        </w:rPr>
        <w:t xml:space="preserve">is </w:t>
      </w:r>
      <w:r w:rsidR="006934C7" w:rsidRPr="005C68BF">
        <w:rPr>
          <w:rFonts w:cs="ITCGaramondStd-Lt"/>
          <w:color w:val="000000"/>
        </w:rPr>
        <w:t xml:space="preserve">here </w:t>
      </w:r>
      <w:r w:rsidR="00B40D33" w:rsidRPr="005C68BF">
        <w:rPr>
          <w:rFonts w:cs="ITCGaramondStd-Lt"/>
          <w:color w:val="000000"/>
        </w:rPr>
        <w:t xml:space="preserve">taking his </w:t>
      </w:r>
      <w:r w:rsidR="00862B7A" w:rsidRPr="005C68BF">
        <w:rPr>
          <w:rFonts w:cs="ITCGaramondStd-Lt"/>
          <w:color w:val="000000"/>
        </w:rPr>
        <w:t xml:space="preserve">own advice </w:t>
      </w:r>
      <w:r w:rsidR="00400A5A" w:rsidRPr="005C68BF">
        <w:rPr>
          <w:rFonts w:cs="ITCGaramondStd-Lt"/>
          <w:color w:val="000000"/>
        </w:rPr>
        <w:t>“But, while I concede that</w:t>
      </w:r>
      <w:r w:rsidR="00400A5A" w:rsidRPr="00400A5A">
        <w:rPr>
          <w:rFonts w:cs="ITCGaramondStd-Lt"/>
          <w:color w:val="000000"/>
        </w:rPr>
        <w:t xml:space="preserve"> our moral intuitions do exert an influence on our classificatory impulses, I believe that this is an influence that should be resisted.</w:t>
      </w:r>
      <w:r w:rsidR="00400A5A">
        <w:rPr>
          <w:rFonts w:cs="ITCGaramondStd-Lt"/>
          <w:color w:val="000000"/>
        </w:rPr>
        <w:t>”</w:t>
      </w:r>
      <w:r w:rsidR="00B40D33">
        <w:rPr>
          <w:rFonts w:cs="ITCGaramondStd-Lt"/>
          <w:color w:val="000000"/>
        </w:rPr>
        <w:t xml:space="preserve"> (1993, </w:t>
      </w:r>
      <w:r w:rsidR="00400A5A">
        <w:rPr>
          <w:rFonts w:cs="ITCGaramondStd-Lt"/>
          <w:color w:val="000000"/>
        </w:rPr>
        <w:t>263</w:t>
      </w:r>
      <w:r w:rsidR="00B40D33">
        <w:rPr>
          <w:rFonts w:cs="ITCGaramondStd-Lt"/>
          <w:color w:val="000000"/>
        </w:rPr>
        <w:t>)</w:t>
      </w:r>
      <w:r w:rsidR="00862B7A">
        <w:rPr>
          <w:rFonts w:cs="ITCGaramondStd-Lt"/>
          <w:color w:val="000000"/>
        </w:rPr>
        <w:t xml:space="preserve">. I </w:t>
      </w:r>
      <w:r w:rsidR="00402B84">
        <w:rPr>
          <w:rFonts w:cs="ITCGaramondStd-Lt"/>
          <w:color w:val="000000"/>
        </w:rPr>
        <w:t xml:space="preserve">wonder whether McMahan is misled </w:t>
      </w:r>
      <w:r w:rsidR="0084011C">
        <w:rPr>
          <w:rFonts w:cs="ITCGaramondStd-Lt"/>
          <w:color w:val="000000"/>
        </w:rPr>
        <w:t xml:space="preserve">because </w:t>
      </w:r>
      <w:r w:rsidR="007A6B49">
        <w:rPr>
          <w:rFonts w:cs="ITCGaramondStd-Lt"/>
          <w:color w:val="000000"/>
        </w:rPr>
        <w:t xml:space="preserve">he believes that </w:t>
      </w:r>
      <w:r>
        <w:rPr>
          <w:rFonts w:cs="ITCGaramondStd-Lt"/>
          <w:color w:val="000000"/>
        </w:rPr>
        <w:t xml:space="preserve">1) </w:t>
      </w:r>
      <w:r w:rsidR="00862B7A">
        <w:rPr>
          <w:rFonts w:cs="ITCGaramondStd-Lt"/>
          <w:color w:val="000000"/>
        </w:rPr>
        <w:t xml:space="preserve">an abortion with permission of the pregnant is </w:t>
      </w:r>
      <w:r w:rsidR="007A6B49">
        <w:rPr>
          <w:rFonts w:cs="ITCGaramondStd-Lt"/>
          <w:color w:val="000000"/>
        </w:rPr>
        <w:t xml:space="preserve">justified but one undertaken without permission is objectionable or </w:t>
      </w:r>
      <w:r>
        <w:rPr>
          <w:rFonts w:cs="ITCGaramondStd-Lt"/>
          <w:color w:val="000000"/>
        </w:rPr>
        <w:t xml:space="preserve">2) </w:t>
      </w:r>
      <w:r w:rsidR="00580DA2">
        <w:rPr>
          <w:rFonts w:cs="ITCGaramondStd-Lt"/>
          <w:color w:val="000000"/>
        </w:rPr>
        <w:t xml:space="preserve">authorizing the abortionist to proceed is </w:t>
      </w:r>
      <w:r w:rsidR="00402B84">
        <w:rPr>
          <w:rFonts w:cs="ITCGaramondStd-Lt"/>
          <w:color w:val="000000"/>
        </w:rPr>
        <w:t>similar to where a life-saving institution deputizes someone to remove the aid</w:t>
      </w:r>
      <w:r>
        <w:rPr>
          <w:rFonts w:cs="ITCGaramondStd-Lt"/>
          <w:color w:val="000000"/>
        </w:rPr>
        <w:t xml:space="preserve"> who had not earlier been providing it</w:t>
      </w:r>
      <w:r w:rsidR="00862B7A">
        <w:rPr>
          <w:rFonts w:cs="ITCGaramondStd-Lt"/>
          <w:color w:val="000000"/>
        </w:rPr>
        <w:t xml:space="preserve">. </w:t>
      </w:r>
      <w:r w:rsidR="00402B84">
        <w:rPr>
          <w:rFonts w:cs="ITCGaramondStd-Lt"/>
          <w:color w:val="000000"/>
        </w:rPr>
        <w:t xml:space="preserve">The first should, at most, be treated as a killing with a different moral status. The latter is not a good analogy because the delegated </w:t>
      </w:r>
      <w:r>
        <w:rPr>
          <w:rFonts w:cs="ITCGaramondStd-Lt"/>
          <w:color w:val="000000"/>
        </w:rPr>
        <w:t xml:space="preserve">extractor </w:t>
      </w:r>
      <w:r w:rsidR="00402B84">
        <w:rPr>
          <w:rFonts w:cs="ITCGaramondStd-Lt"/>
          <w:color w:val="000000"/>
        </w:rPr>
        <w:t xml:space="preserve">couldn’t join the </w:t>
      </w:r>
      <w:r>
        <w:rPr>
          <w:rFonts w:cs="ITCGaramondStd-Lt"/>
          <w:color w:val="000000"/>
        </w:rPr>
        <w:t>mother</w:t>
      </w:r>
      <w:r w:rsidR="00402B84">
        <w:rPr>
          <w:rFonts w:cs="ITCGaramondStd-Lt"/>
          <w:color w:val="000000"/>
        </w:rPr>
        <w:t xml:space="preserve"> as part of a team supporting the embryo, while the newest member of an intensive care unit who personally withdraws aid could have </w:t>
      </w:r>
      <w:r>
        <w:rPr>
          <w:rFonts w:cs="ITCGaramondStd-Lt"/>
          <w:color w:val="000000"/>
        </w:rPr>
        <w:t xml:space="preserve">served in the </w:t>
      </w:r>
      <w:r w:rsidRPr="00A82040">
        <w:rPr>
          <w:rFonts w:cs="ITCGaramondStd-Lt"/>
          <w:i/>
          <w:color w:val="000000"/>
        </w:rPr>
        <w:t>role</w:t>
      </w:r>
      <w:r>
        <w:rPr>
          <w:rFonts w:cs="ITCGaramondStd-Lt"/>
          <w:color w:val="000000"/>
        </w:rPr>
        <w:t xml:space="preserve"> of maintaining </w:t>
      </w:r>
      <w:r w:rsidR="00402B84">
        <w:rPr>
          <w:rFonts w:cs="ITCGaramondStd-Lt"/>
          <w:color w:val="000000"/>
        </w:rPr>
        <w:t>that life</w:t>
      </w:r>
      <w:r w:rsidR="00862B7A">
        <w:rPr>
          <w:rFonts w:cs="ITCGaramondStd-Lt"/>
          <w:color w:val="000000"/>
        </w:rPr>
        <w:t xml:space="preserve">. </w:t>
      </w:r>
    </w:p>
    <w:p w:rsidR="003503CA" w:rsidRDefault="003503CA" w:rsidP="00E83925">
      <w:pPr>
        <w:autoSpaceDE w:val="0"/>
        <w:autoSpaceDN w:val="0"/>
        <w:adjustRightInd w:val="0"/>
        <w:spacing w:after="0" w:line="480" w:lineRule="auto"/>
        <w:ind w:firstLine="720"/>
        <w:rPr>
          <w:rFonts w:cs="ITCGaramondStd-Lt"/>
          <w:color w:val="000000"/>
        </w:rPr>
      </w:pPr>
      <w:r>
        <w:rPr>
          <w:rFonts w:cs="ITCGaramondStd-Lt"/>
          <w:color w:val="000000"/>
        </w:rPr>
        <w:t>To better appreciate why McMahan’s claims are not convincing, i</w:t>
      </w:r>
      <w:r w:rsidR="00862B7A">
        <w:rPr>
          <w:rFonts w:cs="ITCGaramondStd-Lt"/>
          <w:color w:val="000000"/>
        </w:rPr>
        <w:t xml:space="preserve">magine that someone falls off a cliff and I </w:t>
      </w:r>
      <w:r>
        <w:rPr>
          <w:rFonts w:cs="ITCGaramondStd-Lt"/>
          <w:color w:val="000000"/>
        </w:rPr>
        <w:t xml:space="preserve">instinctively </w:t>
      </w:r>
      <w:r w:rsidR="00862B7A">
        <w:rPr>
          <w:rFonts w:cs="ITCGaramondStd-Lt"/>
          <w:color w:val="000000"/>
        </w:rPr>
        <w:t xml:space="preserve">grab </w:t>
      </w:r>
      <w:r w:rsidR="00B40D33">
        <w:rPr>
          <w:rFonts w:cs="ITCGaramondStd-Lt"/>
          <w:color w:val="000000"/>
        </w:rPr>
        <w:t xml:space="preserve">his </w:t>
      </w:r>
      <w:r w:rsidR="00862B7A">
        <w:rPr>
          <w:rFonts w:cs="ITCGaramondStd-Lt"/>
          <w:color w:val="000000"/>
        </w:rPr>
        <w:t xml:space="preserve">hand. I </w:t>
      </w:r>
      <w:r w:rsidR="0084011C">
        <w:rPr>
          <w:rFonts w:cs="ITCGaramondStd-Lt"/>
          <w:color w:val="000000"/>
        </w:rPr>
        <w:t xml:space="preserve">then </w:t>
      </w:r>
      <w:r w:rsidR="00862B7A">
        <w:rPr>
          <w:rFonts w:cs="ITCGaramondStd-Lt"/>
          <w:color w:val="000000"/>
        </w:rPr>
        <w:t xml:space="preserve">realize that </w:t>
      </w:r>
      <w:r w:rsidR="0084011C">
        <w:rPr>
          <w:rFonts w:cs="ITCGaramondStd-Lt"/>
          <w:color w:val="000000"/>
        </w:rPr>
        <w:t xml:space="preserve">I am the beneficiary of this person’s will and so </w:t>
      </w:r>
      <w:r w:rsidR="00862B7A">
        <w:rPr>
          <w:rFonts w:cs="ITCGaramondStd-Lt"/>
          <w:color w:val="000000"/>
        </w:rPr>
        <w:t xml:space="preserve">I </w:t>
      </w:r>
      <w:r w:rsidR="00284CA7">
        <w:rPr>
          <w:rFonts w:cs="ITCGaramondStd-Lt"/>
          <w:color w:val="000000"/>
        </w:rPr>
        <w:t xml:space="preserve">decide to </w:t>
      </w:r>
      <w:r w:rsidR="00862B7A">
        <w:rPr>
          <w:rFonts w:cs="ITCGaramondStd-Lt"/>
          <w:color w:val="000000"/>
        </w:rPr>
        <w:t xml:space="preserve">let </w:t>
      </w:r>
      <w:r w:rsidR="0061753D">
        <w:rPr>
          <w:rFonts w:cs="ITCGaramondStd-Lt"/>
          <w:color w:val="000000"/>
        </w:rPr>
        <w:t xml:space="preserve">go </w:t>
      </w:r>
      <w:r w:rsidR="0084011C">
        <w:rPr>
          <w:rFonts w:cs="ITCGaramondStd-Lt"/>
          <w:color w:val="000000"/>
        </w:rPr>
        <w:t>in order to inherit a small fortune</w:t>
      </w:r>
      <w:r w:rsidR="00862B7A">
        <w:rPr>
          <w:rFonts w:cs="ITCGaramondStd-Lt"/>
          <w:color w:val="000000"/>
        </w:rPr>
        <w:t>. I release my grasp but the</w:t>
      </w:r>
      <w:r>
        <w:rPr>
          <w:rFonts w:cs="ITCGaramondStd-Lt"/>
          <w:color w:val="000000"/>
        </w:rPr>
        <w:t xml:space="preserve"> dangling person </w:t>
      </w:r>
      <w:r w:rsidR="00862B7A">
        <w:rPr>
          <w:rFonts w:cs="ITCGaramondStd-Lt"/>
          <w:color w:val="000000"/>
        </w:rPr>
        <w:t>do</w:t>
      </w:r>
      <w:r>
        <w:rPr>
          <w:rFonts w:cs="ITCGaramondStd-Lt"/>
          <w:color w:val="000000"/>
        </w:rPr>
        <w:t>es</w:t>
      </w:r>
      <w:r w:rsidR="00862B7A">
        <w:rPr>
          <w:rFonts w:cs="ITCGaramondStd-Lt"/>
          <w:color w:val="000000"/>
        </w:rPr>
        <w:t xml:space="preserve">n’t release </w:t>
      </w:r>
      <w:r>
        <w:rPr>
          <w:rFonts w:cs="ITCGaramondStd-Lt"/>
          <w:color w:val="000000"/>
        </w:rPr>
        <w:t>his or, alternatively, my hand spasms and contracts and I can’t pry my fingers apart</w:t>
      </w:r>
      <w:r w:rsidR="00862B7A">
        <w:rPr>
          <w:rFonts w:cs="ITCGaramondStd-Lt"/>
          <w:color w:val="000000"/>
        </w:rPr>
        <w:t>. Someone comes along who</w:t>
      </w:r>
      <w:r w:rsidR="0061753D">
        <w:rPr>
          <w:rFonts w:cs="ITCGaramondStd-Lt"/>
          <w:color w:val="000000"/>
        </w:rPr>
        <w:t>m</w:t>
      </w:r>
      <w:r w:rsidR="00862B7A">
        <w:rPr>
          <w:rFonts w:cs="ITCGaramondStd-Lt"/>
          <w:color w:val="000000"/>
        </w:rPr>
        <w:t xml:space="preserve"> I offer money to </w:t>
      </w:r>
      <w:r w:rsidR="00936502">
        <w:rPr>
          <w:rFonts w:cs="ITCGaramondStd-Lt"/>
          <w:color w:val="000000"/>
        </w:rPr>
        <w:t xml:space="preserve">separate </w:t>
      </w:r>
      <w:r w:rsidR="00DA4E23">
        <w:rPr>
          <w:rFonts w:cs="ITCGaramondStd-Lt"/>
          <w:color w:val="000000"/>
        </w:rPr>
        <w:t xml:space="preserve">us </w:t>
      </w:r>
      <w:r w:rsidR="00936502">
        <w:rPr>
          <w:rFonts w:cs="ITCGaramondStd-Lt"/>
          <w:color w:val="000000"/>
        </w:rPr>
        <w:t xml:space="preserve">by </w:t>
      </w:r>
      <w:r w:rsidR="00862B7A">
        <w:rPr>
          <w:rFonts w:cs="ITCGaramondStd-Lt"/>
          <w:color w:val="000000"/>
        </w:rPr>
        <w:t xml:space="preserve">forcefully pull back </w:t>
      </w:r>
      <w:r>
        <w:rPr>
          <w:rFonts w:cs="ITCGaramondStd-Lt"/>
          <w:color w:val="000000"/>
        </w:rPr>
        <w:t xml:space="preserve">my </w:t>
      </w:r>
      <w:r w:rsidR="00862B7A">
        <w:rPr>
          <w:rFonts w:cs="ITCGaramondStd-Lt"/>
          <w:color w:val="000000"/>
        </w:rPr>
        <w:t xml:space="preserve">fingers </w:t>
      </w:r>
      <w:r>
        <w:rPr>
          <w:rFonts w:cs="ITCGaramondStd-Lt"/>
          <w:color w:val="000000"/>
        </w:rPr>
        <w:t>or those of the person grasping my hand</w:t>
      </w:r>
      <w:r w:rsidR="00862B7A">
        <w:rPr>
          <w:rFonts w:cs="ITCGaramondStd-Lt"/>
          <w:color w:val="000000"/>
        </w:rPr>
        <w:t xml:space="preserve">. The </w:t>
      </w:r>
      <w:r w:rsidR="0085512F">
        <w:rPr>
          <w:rFonts w:cs="ITCGaramondStd-Lt"/>
          <w:color w:val="000000"/>
        </w:rPr>
        <w:t xml:space="preserve">third party </w:t>
      </w:r>
      <w:r w:rsidR="00862B7A">
        <w:rPr>
          <w:rFonts w:cs="ITCGaramondStd-Lt"/>
          <w:color w:val="000000"/>
        </w:rPr>
        <w:t>does s</w:t>
      </w:r>
      <w:r w:rsidR="0085512F">
        <w:rPr>
          <w:rFonts w:cs="ITCGaramondStd-Lt"/>
          <w:color w:val="000000"/>
        </w:rPr>
        <w:t xml:space="preserve">o. He has not </w:t>
      </w:r>
      <w:r w:rsidR="00862B7A">
        <w:rPr>
          <w:rFonts w:cs="ITCGaramondStd-Lt"/>
          <w:color w:val="000000"/>
        </w:rPr>
        <w:t>let the dangling person die but has killed the person</w:t>
      </w:r>
      <w:r w:rsidR="0085512F">
        <w:rPr>
          <w:rFonts w:cs="ITCGaramondStd-Lt"/>
          <w:color w:val="000000"/>
        </w:rPr>
        <w:t xml:space="preserve"> as he was not providing support, though I delegated him to free my hand </w:t>
      </w:r>
      <w:r w:rsidR="0061753D">
        <w:rPr>
          <w:rFonts w:cs="ITCGaramondStd-Lt"/>
          <w:color w:val="000000"/>
        </w:rPr>
        <w:t xml:space="preserve">from that of </w:t>
      </w:r>
      <w:r w:rsidR="0085512F">
        <w:rPr>
          <w:rFonts w:cs="ITCGaramondStd-Lt"/>
          <w:color w:val="000000"/>
        </w:rPr>
        <w:t>the unfortunate fellow</w:t>
      </w:r>
      <w:r w:rsidR="00862B7A">
        <w:rPr>
          <w:rFonts w:cs="ITCGaramondStd-Lt"/>
          <w:color w:val="000000"/>
        </w:rPr>
        <w:t xml:space="preserve">. </w:t>
      </w:r>
      <w:r w:rsidR="0061753D">
        <w:rPr>
          <w:rFonts w:cs="ITCGaramondStd-Lt"/>
          <w:color w:val="000000"/>
        </w:rPr>
        <w:t>It shouldn’t be thought that</w:t>
      </w:r>
      <w:r w:rsidR="00DA4E23">
        <w:rPr>
          <w:rFonts w:cs="ITCGaramondStd-Lt"/>
          <w:color w:val="000000"/>
        </w:rPr>
        <w:t xml:space="preserve"> this</w:t>
      </w:r>
      <w:r w:rsidR="0061753D">
        <w:rPr>
          <w:rFonts w:cs="ITCGaramondStd-Lt"/>
          <w:color w:val="000000"/>
        </w:rPr>
        <w:t xml:space="preserve"> is </w:t>
      </w:r>
      <w:r w:rsidR="0085512F">
        <w:rPr>
          <w:rFonts w:cs="ITCGaramondStd-Lt"/>
          <w:color w:val="000000"/>
        </w:rPr>
        <w:t xml:space="preserve">a killing </w:t>
      </w:r>
      <w:r w:rsidR="00862B7A">
        <w:rPr>
          <w:rFonts w:cs="ITCGaramondStd-Lt"/>
          <w:color w:val="000000"/>
        </w:rPr>
        <w:t xml:space="preserve">because </w:t>
      </w:r>
      <w:r w:rsidR="0085512F">
        <w:rPr>
          <w:rFonts w:cs="ITCGaramondStd-Lt"/>
          <w:color w:val="000000"/>
        </w:rPr>
        <w:t xml:space="preserve">the person’s </w:t>
      </w:r>
      <w:r w:rsidR="00862B7A">
        <w:rPr>
          <w:rFonts w:cs="ITCGaramondStd-Lt"/>
          <w:color w:val="000000"/>
        </w:rPr>
        <w:t xml:space="preserve">motive </w:t>
      </w:r>
      <w:r w:rsidR="00936502">
        <w:rPr>
          <w:rFonts w:cs="ITCGaramondStd-Lt"/>
          <w:color w:val="000000"/>
        </w:rPr>
        <w:t xml:space="preserve">was morally flawed. </w:t>
      </w:r>
      <w:r w:rsidR="00862B7A">
        <w:rPr>
          <w:rFonts w:cs="ITCGaramondStd-Lt"/>
          <w:color w:val="000000"/>
        </w:rPr>
        <w:t xml:space="preserve">Imagine </w:t>
      </w:r>
      <w:r w:rsidR="0085512F">
        <w:rPr>
          <w:rFonts w:cs="ITCGaramondStd-Lt"/>
          <w:color w:val="000000"/>
        </w:rPr>
        <w:t xml:space="preserve">a similar scenario where I discover it is </w:t>
      </w:r>
      <w:r w:rsidR="00DA4E23">
        <w:rPr>
          <w:rFonts w:cs="ITCGaramondStd-Lt"/>
          <w:color w:val="000000"/>
        </w:rPr>
        <w:t xml:space="preserve">a </w:t>
      </w:r>
      <w:r w:rsidR="0085512F">
        <w:rPr>
          <w:rFonts w:cs="ITCGaramondStd-Lt"/>
          <w:color w:val="000000"/>
        </w:rPr>
        <w:t xml:space="preserve">falling </w:t>
      </w:r>
      <w:r w:rsidR="00862B7A">
        <w:rPr>
          <w:rFonts w:cs="ITCGaramondStd-Lt"/>
          <w:color w:val="000000"/>
        </w:rPr>
        <w:t xml:space="preserve">Hitler whose hand I have grasped and when I let go of his hand, </w:t>
      </w:r>
      <w:r w:rsidR="0085512F">
        <w:rPr>
          <w:rFonts w:cs="ITCGaramondStd-Lt"/>
          <w:color w:val="000000"/>
        </w:rPr>
        <w:t xml:space="preserve">the Nazi leader </w:t>
      </w:r>
      <w:r w:rsidR="00862B7A">
        <w:rPr>
          <w:rFonts w:cs="ITCGaramondStd-Lt"/>
          <w:color w:val="000000"/>
        </w:rPr>
        <w:t xml:space="preserve">continues to hold onto mine. I ask a bystander for help </w:t>
      </w:r>
      <w:r w:rsidR="0085512F">
        <w:rPr>
          <w:rFonts w:cs="ITCGaramondStd-Lt"/>
          <w:color w:val="000000"/>
        </w:rPr>
        <w:t xml:space="preserve">to disentangle our fingers and </w:t>
      </w:r>
      <w:r w:rsidR="00862B7A">
        <w:rPr>
          <w:rFonts w:cs="ITCGaramondStd-Lt"/>
          <w:color w:val="000000"/>
        </w:rPr>
        <w:t xml:space="preserve">he pulls </w:t>
      </w:r>
      <w:r w:rsidR="0061753D">
        <w:rPr>
          <w:rFonts w:cs="ITCGaramondStd-Lt"/>
          <w:color w:val="000000"/>
        </w:rPr>
        <w:t xml:space="preserve">them apart </w:t>
      </w:r>
      <w:r w:rsidR="0085512F">
        <w:rPr>
          <w:rFonts w:cs="ITCGaramondStd-Lt"/>
          <w:color w:val="000000"/>
        </w:rPr>
        <w:t>and the Fuhrer falls</w:t>
      </w:r>
      <w:r w:rsidR="003A255D">
        <w:rPr>
          <w:rFonts w:cs="ITCGaramondStd-Lt"/>
          <w:color w:val="000000"/>
        </w:rPr>
        <w:t>.</w:t>
      </w:r>
      <w:r w:rsidR="00862B7A">
        <w:rPr>
          <w:rFonts w:cs="ITCGaramondStd-Lt"/>
          <w:color w:val="000000"/>
        </w:rPr>
        <w:t xml:space="preserve"> </w:t>
      </w:r>
      <w:r w:rsidR="0085512F">
        <w:rPr>
          <w:rFonts w:cs="ITCGaramondStd-Lt"/>
          <w:color w:val="000000"/>
        </w:rPr>
        <w:t xml:space="preserve">The bystander </w:t>
      </w:r>
      <w:r w:rsidR="00862B7A">
        <w:rPr>
          <w:rFonts w:cs="ITCGaramondStd-Lt"/>
          <w:color w:val="000000"/>
        </w:rPr>
        <w:t xml:space="preserve">can truthfully brag </w:t>
      </w:r>
      <w:r w:rsidR="0085512F">
        <w:rPr>
          <w:rFonts w:cs="ITCGaramondStd-Lt"/>
          <w:color w:val="000000"/>
        </w:rPr>
        <w:t xml:space="preserve">that </w:t>
      </w:r>
      <w:r w:rsidR="00862B7A">
        <w:rPr>
          <w:rFonts w:cs="ITCGaramondStd-Lt"/>
          <w:color w:val="000000"/>
        </w:rPr>
        <w:t xml:space="preserve">he </w:t>
      </w:r>
      <w:r>
        <w:rPr>
          <w:rFonts w:cs="ITCGaramondStd-Lt"/>
          <w:color w:val="000000"/>
        </w:rPr>
        <w:t xml:space="preserve">killed </w:t>
      </w:r>
      <w:r w:rsidR="00862B7A">
        <w:rPr>
          <w:rFonts w:cs="ITCGaramondStd-Lt"/>
          <w:color w:val="000000"/>
        </w:rPr>
        <w:t xml:space="preserve">Hitler, not that he allowed </w:t>
      </w:r>
      <w:r w:rsidR="0085512F">
        <w:rPr>
          <w:rFonts w:cs="ITCGaramondStd-Lt"/>
          <w:color w:val="000000"/>
        </w:rPr>
        <w:t xml:space="preserve">the </w:t>
      </w:r>
      <w:r w:rsidR="00BA01C8">
        <w:rPr>
          <w:rFonts w:cs="ITCGaramondStd-Lt"/>
          <w:color w:val="000000"/>
        </w:rPr>
        <w:t xml:space="preserve">Nazi </w:t>
      </w:r>
      <w:r w:rsidR="00862B7A">
        <w:rPr>
          <w:rFonts w:cs="ITCGaramondStd-Lt"/>
          <w:color w:val="000000"/>
        </w:rPr>
        <w:t>to die</w:t>
      </w:r>
      <w:r w:rsidR="00DD3EB8">
        <w:rPr>
          <w:rFonts w:cs="ITCGaramondStd-Lt"/>
          <w:color w:val="000000"/>
        </w:rPr>
        <w:t>.</w:t>
      </w:r>
      <w:r w:rsidR="003A255D">
        <w:rPr>
          <w:rFonts w:cs="ITCGaramondStd-Lt"/>
          <w:color w:val="000000"/>
        </w:rPr>
        <w:t xml:space="preserve"> What he did </w:t>
      </w:r>
      <w:r w:rsidR="00BA01C8">
        <w:rPr>
          <w:rFonts w:cs="ITCGaramondStd-Lt"/>
          <w:color w:val="000000"/>
        </w:rPr>
        <w:t>is</w:t>
      </w:r>
      <w:r w:rsidR="003A255D">
        <w:rPr>
          <w:rFonts w:cs="ITCGaramondStd-Lt"/>
          <w:color w:val="000000"/>
        </w:rPr>
        <w:t xml:space="preserve"> no different from his following my instructions to cut a rope that I own </w:t>
      </w:r>
      <w:r w:rsidR="0061753D">
        <w:rPr>
          <w:rFonts w:cs="ITCGaramondStd-Lt"/>
          <w:color w:val="000000"/>
        </w:rPr>
        <w:t xml:space="preserve">to </w:t>
      </w:r>
      <w:r w:rsidR="003A255D">
        <w:rPr>
          <w:rFonts w:cs="ITCGaramondStd-Lt"/>
          <w:color w:val="000000"/>
        </w:rPr>
        <w:t xml:space="preserve">which Hitler </w:t>
      </w:r>
      <w:r w:rsidR="00BA01C8">
        <w:rPr>
          <w:rFonts w:cs="ITCGaramondStd-Lt"/>
          <w:color w:val="000000"/>
        </w:rPr>
        <w:t>is</w:t>
      </w:r>
      <w:r w:rsidR="003A255D">
        <w:rPr>
          <w:rFonts w:cs="ITCGaramondStd-Lt"/>
          <w:color w:val="000000"/>
        </w:rPr>
        <w:t xml:space="preserve"> clinging. </w:t>
      </w:r>
    </w:p>
    <w:p w:rsidR="00717879" w:rsidRDefault="003503CA" w:rsidP="00E83925">
      <w:pPr>
        <w:spacing w:after="0" w:line="480" w:lineRule="auto"/>
        <w:ind w:firstLine="720"/>
      </w:pPr>
      <w:r>
        <w:lastRenderedPageBreak/>
        <w:t xml:space="preserve"> My objection to McMahan’s treatment of </w:t>
      </w:r>
      <w:r w:rsidR="00402B84">
        <w:t xml:space="preserve">an extraction abortion in the form of hysterotomy </w:t>
      </w:r>
      <w:r>
        <w:t xml:space="preserve">can’t </w:t>
      </w:r>
      <w:r w:rsidR="00402B84">
        <w:t xml:space="preserve">be extended </w:t>
      </w:r>
      <w:r>
        <w:t xml:space="preserve">to the abortion pill. </w:t>
      </w:r>
      <w:r w:rsidR="00717879">
        <w:t>Pro-lifers may respond that the aborted fetus is the mother’s own child and women have special obligations to family members that they don’t have to strangers. “Like the first fratricide, every murder is a violation of the "spiritual" kinship uniting mankind in one great family, (Saint Ambrose) in which all share the same fundamental good: equal personal dignity…. Even more serious is the fact that, most often, those attacks are carried out in the very heart of and with the complicity of the family-the family which by its nature is called to be the "sanctuary of life" (</w:t>
      </w:r>
      <w:r w:rsidR="00717879" w:rsidRPr="00BA01C8">
        <w:rPr>
          <w:i/>
        </w:rPr>
        <w:t>E</w:t>
      </w:r>
      <w:r w:rsidR="00BA01C8" w:rsidRPr="00BA01C8">
        <w:rPr>
          <w:i/>
        </w:rPr>
        <w:t>vangelium Vitae</w:t>
      </w:r>
      <w:r w:rsidR="00BA01C8">
        <w:t xml:space="preserve"> </w:t>
      </w:r>
      <w:r w:rsidR="00717879">
        <w:t>sec. 11).</w:t>
      </w:r>
    </w:p>
    <w:p w:rsidR="00717879" w:rsidRDefault="00717879" w:rsidP="00E83925">
      <w:pPr>
        <w:spacing w:after="0" w:line="480" w:lineRule="auto"/>
        <w:ind w:firstLine="720"/>
      </w:pPr>
      <w:r>
        <w:t xml:space="preserve">Boonin’s response </w:t>
      </w:r>
      <w:r w:rsidR="00580DA2">
        <w:t xml:space="preserve">to this kind of pro-life response </w:t>
      </w:r>
      <w:r>
        <w:t>is to imagine a surrogate who is not the biological mother of a child that she aborts (Boonin: 2019, 92; 200</w:t>
      </w:r>
      <w:r w:rsidR="00B61086">
        <w:t>3</w:t>
      </w:r>
      <w:r>
        <w:t xml:space="preserve">, 230-32). Perhaps the pro-lifer can contest Boonin’s claim that the gestational mother is not a biological mother, despite not being the genetic mother. Virtually every ounce of that embryo’s body is grown inside the mother in virtue of her biological processes. That would seem to qualify as a biological mother. But I won’t pursue this here because it either </w:t>
      </w:r>
      <w:r w:rsidR="00284CA7">
        <w:t xml:space="preserve">leads to </w:t>
      </w:r>
      <w:r w:rsidR="00580DA2">
        <w:t>constru</w:t>
      </w:r>
      <w:r w:rsidR="00284CA7">
        <w:t>ing</w:t>
      </w:r>
      <w:r>
        <w:t xml:space="preserve"> extraction abortions </w:t>
      </w:r>
      <w:r w:rsidR="00580DA2">
        <w:t xml:space="preserve">as </w:t>
      </w:r>
      <w:r>
        <w:t xml:space="preserve">immoral instances of letting die or moralizes the killing/letting die distinction. Furthermore, the moral </w:t>
      </w:r>
      <w:r w:rsidR="00284CA7">
        <w:t xml:space="preserve">pull </w:t>
      </w:r>
      <w:r>
        <w:t xml:space="preserve">of the biological ties </w:t>
      </w:r>
      <w:r w:rsidR="00284CA7">
        <w:t xml:space="preserve">as a source of duties </w:t>
      </w:r>
      <w:r>
        <w:t>can be weakened if the violinist is a result of mix up where a parent donate</w:t>
      </w:r>
      <w:r w:rsidR="00E0134E">
        <w:t>s</w:t>
      </w:r>
      <w:r>
        <w:t xml:space="preserve"> a gamete for research that </w:t>
      </w:r>
      <w:r w:rsidR="00E0134E">
        <w:t xml:space="preserve">is </w:t>
      </w:r>
      <w:r>
        <w:t>mistakenly used in assisted reproduction and produce</w:t>
      </w:r>
      <w:r w:rsidR="00E0134E">
        <w:t>s</w:t>
      </w:r>
      <w:r>
        <w:t xml:space="preserve"> the violinist who years later need</w:t>
      </w:r>
      <w:r w:rsidR="00E0134E">
        <w:t>s</w:t>
      </w:r>
      <w:r>
        <w:t xml:space="preserve"> the help of the parent who donated the gamete. The abstract principle of special obligations would necessitate support but many </w:t>
      </w:r>
      <w:r w:rsidR="00580DA2">
        <w:t>will</w:t>
      </w:r>
      <w:r>
        <w:t xml:space="preserve"> not find it intuitively compelling.</w:t>
      </w:r>
    </w:p>
    <w:p w:rsidR="00717879" w:rsidRDefault="00717879" w:rsidP="00E83925">
      <w:pPr>
        <w:spacing w:after="0" w:line="480" w:lineRule="auto"/>
        <w:ind w:firstLine="720"/>
      </w:pPr>
      <w:r>
        <w:t xml:space="preserve">A second </w:t>
      </w:r>
      <w:r w:rsidR="00926C6E">
        <w:t xml:space="preserve">attempt to classify the abortion pill as a killing is to stress </w:t>
      </w:r>
      <w:r>
        <w:t xml:space="preserve">that the embryo is healthy, though dependent, the violinist is not. If one takes a healthy fish out of the water and it asphyxiates, imposing that fatal pathology is killing it. Thus, the violinist is allowed to die, while the embryo is killed. However, there are plenty of cases of healthy people being allowed to die. If you don’t feed someone, they are not unhealthy at the start of your omission. Likewise, if someone </w:t>
      </w:r>
      <w:r>
        <w:lastRenderedPageBreak/>
        <w:t>mistakenly acquires your coat on a freezing day and you take it back and the defrocked person freezes to death, you have not killed but let the person die. So, letting someone die is not just letting a disease take its course but could involve a refusal to provide life-saving assistance to the healthy.</w:t>
      </w:r>
    </w:p>
    <w:p w:rsidR="00371AF3" w:rsidRDefault="00371AF3" w:rsidP="00371AF3">
      <w:pPr>
        <w:spacing w:after="0" w:line="480" w:lineRule="auto"/>
        <w:jc w:val="center"/>
      </w:pPr>
      <w:r>
        <w:rPr>
          <w:b/>
        </w:rPr>
        <w:t>B.</w:t>
      </w:r>
      <w:r w:rsidRPr="00371AF3">
        <w:rPr>
          <w:b/>
        </w:rPr>
        <w:t xml:space="preserve"> “Killer Pills”</w:t>
      </w:r>
    </w:p>
    <w:p w:rsidR="00C8732B" w:rsidRPr="00C8732B" w:rsidRDefault="005962AC" w:rsidP="00E83925">
      <w:pPr>
        <w:spacing w:after="0" w:line="480" w:lineRule="auto"/>
        <w:ind w:firstLine="720"/>
      </w:pPr>
      <w:r>
        <w:t>Instead</w:t>
      </w:r>
      <w:r w:rsidR="007E5B0D">
        <w:t xml:space="preserve"> of the trying to reject abortion pills as attempted in the previous section</w:t>
      </w:r>
      <w:r>
        <w:t xml:space="preserve">, </w:t>
      </w:r>
      <w:r w:rsidR="00BA01C8">
        <w:t>pro-lifers</w:t>
      </w:r>
      <w:r w:rsidR="003503CA">
        <w:t xml:space="preserve"> </w:t>
      </w:r>
      <w:r w:rsidR="00C37753">
        <w:t xml:space="preserve">should </w:t>
      </w:r>
      <w:r w:rsidR="003503CA">
        <w:t xml:space="preserve">distinguish </w:t>
      </w:r>
      <w:r w:rsidR="003A255D" w:rsidRPr="003A255D">
        <w:rPr>
          <w:i/>
        </w:rPr>
        <w:t>p</w:t>
      </w:r>
      <w:r w:rsidR="003503CA" w:rsidRPr="002E6F84">
        <w:rPr>
          <w:i/>
        </w:rPr>
        <w:t xml:space="preserve">reventing life sustaining nourishment by inflicting </w:t>
      </w:r>
      <w:r w:rsidR="003503CA">
        <w:rPr>
          <w:i/>
        </w:rPr>
        <w:t xml:space="preserve">damage to the body </w:t>
      </w:r>
      <w:r w:rsidR="00DA4E23" w:rsidRPr="00F23677">
        <w:t>from</w:t>
      </w:r>
      <w:r w:rsidR="003503CA" w:rsidRPr="002E6F84">
        <w:rPr>
          <w:i/>
        </w:rPr>
        <w:t xml:space="preserve"> </w:t>
      </w:r>
      <w:r w:rsidR="003503CA">
        <w:rPr>
          <w:i/>
        </w:rPr>
        <w:t xml:space="preserve">bodily damage induced by the </w:t>
      </w:r>
      <w:r w:rsidR="003503CA" w:rsidRPr="002E6F84">
        <w:rPr>
          <w:i/>
        </w:rPr>
        <w:t>loss of nourishment</w:t>
      </w:r>
      <w:r w:rsidR="003503CA">
        <w:t>. The abortion pill is not like someone unplugging the violinist or refusing to</w:t>
      </w:r>
      <w:r w:rsidR="003503CA" w:rsidRPr="00A72434">
        <w:t xml:space="preserve"> breastfeed</w:t>
      </w:r>
      <w:r w:rsidR="003503CA">
        <w:t xml:space="preserve"> a newborn who then starves to death. The cessation of embryo life support is accomplished by damaging the individual rather than the deadly damage coming after the removal of support. If a woman stops a nursing baby clenched to her nipple by squeezing its throat - blocking the esophagus - that is killing, even though it prevents her own milk from flowing to the child. </w:t>
      </w:r>
    </w:p>
    <w:p w:rsidR="00C8732B" w:rsidRPr="00C8732B" w:rsidRDefault="00936502" w:rsidP="00E83925">
      <w:pPr>
        <w:autoSpaceDE w:val="0"/>
        <w:autoSpaceDN w:val="0"/>
        <w:adjustRightInd w:val="0"/>
        <w:spacing w:after="0" w:line="480" w:lineRule="auto"/>
        <w:ind w:firstLine="720"/>
      </w:pPr>
      <w:r>
        <w:rPr>
          <w:bCs/>
        </w:rPr>
        <w:t xml:space="preserve">Describing the ingesting of an abortion pill as a killing is </w:t>
      </w:r>
      <w:r w:rsidR="003A255D">
        <w:rPr>
          <w:bCs/>
        </w:rPr>
        <w:t xml:space="preserve">clearly </w:t>
      </w:r>
      <w:r w:rsidR="00C8732B" w:rsidRPr="00C8732B">
        <w:rPr>
          <w:bCs/>
        </w:rPr>
        <w:t xml:space="preserve">an accurate description of </w:t>
      </w:r>
      <w:r>
        <w:rPr>
          <w:bCs/>
        </w:rPr>
        <w:t xml:space="preserve">the abortifacient </w:t>
      </w:r>
      <w:r w:rsidR="00674DBC" w:rsidRPr="00C8732B">
        <w:t>Methotrexate</w:t>
      </w:r>
      <w:r w:rsidR="00674DBC">
        <w:t xml:space="preserve"> (MTX)</w:t>
      </w:r>
      <w:r w:rsidR="00C8732B" w:rsidRPr="00C8732B">
        <w:t xml:space="preserve"> </w:t>
      </w:r>
      <w:r w:rsidR="003A255D">
        <w:t>- “</w:t>
      </w:r>
      <w:r w:rsidR="00C8732B" w:rsidRPr="00C8732B">
        <w:t xml:space="preserve">a dihydrofolate reductase inhibitor that deprives cells of </w:t>
      </w:r>
      <w:proofErr w:type="spellStart"/>
      <w:r w:rsidR="00C8732B" w:rsidRPr="00C8732B">
        <w:t>tetrahydrofolic</w:t>
      </w:r>
      <w:proofErr w:type="spellEnd"/>
      <w:r w:rsidR="00C8732B" w:rsidRPr="00C8732B">
        <w:t xml:space="preserve"> acid, which is essential for DNA synthesis in rapidly dividing cells.” </w:t>
      </w:r>
      <w:r w:rsidR="003A255D">
        <w:t>(</w:t>
      </w:r>
      <w:r w:rsidR="00C8732B" w:rsidRPr="00C8732B">
        <w:t>216 Moreno-Ruiz et al</w:t>
      </w:r>
      <w:r w:rsidR="003A255D">
        <w:t>).</w:t>
      </w:r>
      <w:r w:rsidR="00C8732B" w:rsidRPr="00C8732B">
        <w:rPr>
          <w:bCs/>
        </w:rPr>
        <w:t xml:space="preserve"> M</w:t>
      </w:r>
      <w:r w:rsidR="00C8732B" w:rsidRPr="00C8732B">
        <w:t xml:space="preserve">ethotrexate </w:t>
      </w:r>
      <w:r>
        <w:t xml:space="preserve">had long </w:t>
      </w:r>
      <w:r w:rsidR="00C8732B" w:rsidRPr="00C8732B">
        <w:t xml:space="preserve">been used </w:t>
      </w:r>
      <w:r>
        <w:t xml:space="preserve">as a </w:t>
      </w:r>
      <w:r w:rsidR="00C8732B" w:rsidRPr="00C8732B">
        <w:t xml:space="preserve">cancer </w:t>
      </w:r>
      <w:r>
        <w:t xml:space="preserve">fighting drug </w:t>
      </w:r>
      <w:r w:rsidR="00C8732B" w:rsidRPr="00C8732B">
        <w:t xml:space="preserve">because it affects cells that are rapidly dividing. In a Methotrexate </w:t>
      </w:r>
      <w:r>
        <w:t xml:space="preserve">induced </w:t>
      </w:r>
      <w:r w:rsidR="003A255D">
        <w:t>a</w:t>
      </w:r>
      <w:r w:rsidR="00C8732B" w:rsidRPr="00C8732B">
        <w:t xml:space="preserve">bortion, </w:t>
      </w:r>
      <w:r w:rsidR="003A255D">
        <w:t xml:space="preserve">the drug </w:t>
      </w:r>
      <w:r w:rsidR="00C8732B" w:rsidRPr="00C8732B">
        <w:t xml:space="preserve">stops embryonic cells from dividing and multiplying and is a non-surgical method of ending pregnancy in its early stages. Within a few days or weeks of </w:t>
      </w:r>
      <w:r w:rsidR="00971325" w:rsidRPr="00C8732B">
        <w:t>receiving</w:t>
      </w:r>
      <w:r w:rsidR="00C8732B" w:rsidRPr="00C8732B">
        <w:t xml:space="preserve"> an injection of Methotrexate at the clinic</w:t>
      </w:r>
      <w:r w:rsidR="00F23677">
        <w:t>,</w:t>
      </w:r>
      <w:r w:rsidR="00C8732B" w:rsidRPr="00C8732B">
        <w:t xml:space="preserve"> the pregnancy ends through an experience similar to an early miscarriage. </w:t>
      </w:r>
      <w:r>
        <w:rPr>
          <w:color w:val="000000"/>
          <w:shd w:val="clear" w:color="auto" w:fill="FFFFFF"/>
        </w:rPr>
        <w:t>“</w:t>
      </w:r>
      <w:r w:rsidR="00C8732B" w:rsidRPr="00C8732B">
        <w:rPr>
          <w:color w:val="000000"/>
          <w:shd w:val="clear" w:color="auto" w:fill="FFFFFF"/>
        </w:rPr>
        <w:t>As the medication takes effect, MTX interferes with folic acid and stops fetal cell duplication, and disrupts pregnancy at the stage of implantation in the uterine wall.” </w:t>
      </w:r>
      <w:hyperlink r:id="rId7" w:history="1">
        <w:r w:rsidR="00284CA7" w:rsidRPr="008D21BE">
          <w:rPr>
            <w:rStyle w:val="Hyperlink"/>
          </w:rPr>
          <w:t>https://www.fwhc.org/abortion/mtxinfo.htm</w:t>
        </w:r>
      </w:hyperlink>
      <w:r w:rsidR="00284CA7" w:rsidRPr="00C8732B">
        <w:t xml:space="preserve"> </w:t>
      </w:r>
      <w:r w:rsidR="00C8732B" w:rsidRPr="00C8732B">
        <w:rPr>
          <w:color w:val="000000"/>
          <w:shd w:val="clear" w:color="auto" w:fill="FFFFFF"/>
        </w:rPr>
        <w:t xml:space="preserve">It </w:t>
      </w:r>
      <w:r w:rsidR="00423D76">
        <w:t>can work with ectopic pregnancy, unlike mifepristone. The fact that is</w:t>
      </w:r>
      <w:r w:rsidR="00C8732B" w:rsidRPr="00C8732B">
        <w:rPr>
          <w:color w:val="000000"/>
          <w:shd w:val="clear" w:color="auto" w:fill="FFFFFF"/>
        </w:rPr>
        <w:t xml:space="preserve"> less expensive </w:t>
      </w:r>
      <w:r w:rsidR="00423D76">
        <w:rPr>
          <w:color w:val="000000"/>
          <w:shd w:val="clear" w:color="auto" w:fill="FFFFFF"/>
        </w:rPr>
        <w:t>may explain why it is more popular in other countries</w:t>
      </w:r>
      <w:r w:rsidR="00423D76">
        <w:t>.</w:t>
      </w:r>
    </w:p>
    <w:p w:rsidR="00C8732B" w:rsidRPr="00033FBE" w:rsidRDefault="00C8732B" w:rsidP="00E83925">
      <w:pPr>
        <w:autoSpaceDE w:val="0"/>
        <w:autoSpaceDN w:val="0"/>
        <w:adjustRightInd w:val="0"/>
        <w:spacing w:after="0" w:line="480" w:lineRule="auto"/>
        <w:ind w:firstLine="720"/>
      </w:pPr>
      <w:r>
        <w:lastRenderedPageBreak/>
        <w:t>The better</w:t>
      </w:r>
      <w:r w:rsidR="006B1C7C">
        <w:t>-</w:t>
      </w:r>
      <w:r>
        <w:t>known abortion pill is mifepristone</w:t>
      </w:r>
      <w:r w:rsidR="003A255D">
        <w:t xml:space="preserve"> (RU-486)</w:t>
      </w:r>
      <w:r>
        <w:t xml:space="preserve">. It works by blocking progesterone receptors which leads to the uterine </w:t>
      </w:r>
      <w:r w:rsidR="00936502">
        <w:t xml:space="preserve">lining </w:t>
      </w:r>
      <w:r>
        <w:t>withering away, detaching the fetus from the uterine wall. As one of the pill</w:t>
      </w:r>
      <w:r w:rsidR="00B51FD5">
        <w:t>’</w:t>
      </w:r>
      <w:r>
        <w:t xml:space="preserve">s </w:t>
      </w:r>
      <w:r w:rsidR="00B51FD5">
        <w:t xml:space="preserve">developers </w:t>
      </w:r>
      <w:r>
        <w:t xml:space="preserve">wrote </w:t>
      </w:r>
      <w:r w:rsidRPr="00936502">
        <w:t>“That erosion would cause the developing placenta and the embryo to detach from the uterine lining”</w:t>
      </w:r>
      <w:r w:rsidR="00936502" w:rsidRPr="00936502">
        <w:t xml:space="preserve"> </w:t>
      </w:r>
      <w:r w:rsidR="00936502">
        <w:t>(</w:t>
      </w:r>
      <w:proofErr w:type="spellStart"/>
      <w:r w:rsidR="00936502" w:rsidRPr="0078164E">
        <w:t>Teutsch</w:t>
      </w:r>
      <w:proofErr w:type="spellEnd"/>
      <w:r w:rsidR="00936502">
        <w:t xml:space="preserve"> 1990).</w:t>
      </w:r>
      <w:r>
        <w:t xml:space="preserve"> The question </w:t>
      </w:r>
      <w:r w:rsidR="00936502">
        <w:t>becomes</w:t>
      </w:r>
      <w:r>
        <w:t xml:space="preserve"> d</w:t>
      </w:r>
      <w:r w:rsidR="00936502">
        <w:t xml:space="preserve">oes </w:t>
      </w:r>
      <w:r w:rsidR="003A255D">
        <w:t xml:space="preserve">the withering away of the uterine wall </w:t>
      </w:r>
      <w:r>
        <w:t xml:space="preserve">damage the fetal placenta in </w:t>
      </w:r>
      <w:r w:rsidR="006B1C7C">
        <w:t>the detachment process</w:t>
      </w:r>
      <w:r w:rsidR="003A255D">
        <w:t xml:space="preserve">? Or </w:t>
      </w:r>
      <w:r w:rsidR="00A431D6">
        <w:t xml:space="preserve">if there is placental damage, </w:t>
      </w:r>
      <w:r w:rsidR="00171D2F">
        <w:t xml:space="preserve">is it </w:t>
      </w:r>
      <w:r w:rsidR="003A255D">
        <w:t xml:space="preserve">just done to the </w:t>
      </w:r>
      <w:r>
        <w:t>mate</w:t>
      </w:r>
      <w:r w:rsidR="003A255D">
        <w:t xml:space="preserve">rnal </w:t>
      </w:r>
      <w:r>
        <w:t>placenta and</w:t>
      </w:r>
      <w:r w:rsidR="003A255D">
        <w:t>/or the</w:t>
      </w:r>
      <w:r>
        <w:t xml:space="preserve"> endometrium? </w:t>
      </w:r>
      <w:r w:rsidR="003A255D">
        <w:t xml:space="preserve">It is hard to </w:t>
      </w:r>
      <w:r w:rsidR="00171D2F">
        <w:t xml:space="preserve">find </w:t>
      </w:r>
      <w:r>
        <w:t xml:space="preserve">an answer </w:t>
      </w:r>
      <w:r w:rsidR="00171D2F">
        <w:t xml:space="preserve">about </w:t>
      </w:r>
      <w:r>
        <w:t>the specific</w:t>
      </w:r>
      <w:r w:rsidR="00171D2F">
        <w:t xml:space="preserve">s of how the </w:t>
      </w:r>
      <w:r w:rsidR="003A255D">
        <w:t xml:space="preserve">pill </w:t>
      </w:r>
      <w:r w:rsidR="00171D2F">
        <w:t xml:space="preserve">affects the placenta </w:t>
      </w:r>
      <w:r w:rsidR="003A255D">
        <w:t>as my concern</w:t>
      </w:r>
      <w:r w:rsidR="00936502">
        <w:t xml:space="preserve">s and mereological assumptions are </w:t>
      </w:r>
      <w:r w:rsidR="003A255D">
        <w:t xml:space="preserve">not those </w:t>
      </w:r>
      <w:r w:rsidR="00FD5523">
        <w:t xml:space="preserve">of </w:t>
      </w:r>
      <w:r w:rsidR="00936502">
        <w:t xml:space="preserve">health scientists and medical practitioners </w:t>
      </w:r>
      <w:r w:rsidR="003A255D">
        <w:t xml:space="preserve">writing about </w:t>
      </w:r>
      <w:r w:rsidR="00171D2F">
        <w:t>mifepristone</w:t>
      </w:r>
      <w:r w:rsidR="003A255D">
        <w:t xml:space="preserve">. </w:t>
      </w:r>
      <w:r w:rsidR="00D73D31">
        <w:t xml:space="preserve">But it is difficult to imagine the placenta intertwined in the endometrium not being </w:t>
      </w:r>
      <w:r w:rsidR="003A255D">
        <w:t xml:space="preserve">severed and </w:t>
      </w:r>
      <w:r w:rsidR="00D73D31">
        <w:t>da</w:t>
      </w:r>
      <w:r w:rsidR="003A255D">
        <w:t xml:space="preserve">maged </w:t>
      </w:r>
      <w:r w:rsidR="00D73D31">
        <w:t xml:space="preserve">in the removal. </w:t>
      </w:r>
      <w:r w:rsidR="00936502">
        <w:t xml:space="preserve">If a tree’s growing roots don’t just push up a sidewalk but penetrate the concrete, if the sidewalk is </w:t>
      </w:r>
      <w:r w:rsidR="00F75B5E">
        <w:t>later</w:t>
      </w:r>
      <w:r w:rsidR="00936502">
        <w:t xml:space="preserve"> </w:t>
      </w:r>
      <w:r w:rsidR="00FD5523">
        <w:t>torn up</w:t>
      </w:r>
      <w:r w:rsidR="00936502">
        <w:t xml:space="preserve">, it </w:t>
      </w:r>
      <w:r w:rsidR="00F75B5E">
        <w:t xml:space="preserve">then </w:t>
      </w:r>
      <w:r w:rsidR="00936502">
        <w:t xml:space="preserve">seems likely the roots will be damaged in the process. </w:t>
      </w:r>
      <w:r w:rsidR="003A255D">
        <w:t>Perhaps doctors and researchers and philosophers writing about the pill’s erosion of the lining of the uterine wall don’t believe the placenta is part of the embryo</w:t>
      </w:r>
      <w:r w:rsidR="00C10074">
        <w:t xml:space="preserve">. However, a strong case can be made that part of the </w:t>
      </w:r>
      <w:r w:rsidR="00D73D31">
        <w:t>placenta</w:t>
      </w:r>
      <w:r w:rsidR="00C10074">
        <w:t xml:space="preserve"> is an organ of the embryo. The placenta has </w:t>
      </w:r>
      <w:r w:rsidR="00D73D31">
        <w:t>mater</w:t>
      </w:r>
      <w:r w:rsidR="003A255D">
        <w:t>nal</w:t>
      </w:r>
      <w:r w:rsidR="00D73D31">
        <w:t xml:space="preserve"> and embryonic sources.</w:t>
      </w:r>
      <w:r w:rsidR="00936502" w:rsidRPr="00936502">
        <w:t xml:space="preserve"> </w:t>
      </w:r>
      <w:r w:rsidR="00936502">
        <w:t xml:space="preserve">The latter are </w:t>
      </w:r>
      <w:r w:rsidR="00936502" w:rsidRPr="00936502">
        <w:t>(1) generated by the</w:t>
      </w:r>
      <w:r w:rsidR="00936502">
        <w:t xml:space="preserve"> trophectoderm of the </w:t>
      </w:r>
      <w:r w:rsidR="00936502" w:rsidRPr="00936502">
        <w:t>embryo (2) physically continuous with the embryo (3) genetically identical to the embryo, and (4) critically required for embryonic function and survival (</w:t>
      </w:r>
      <w:r w:rsidR="00936502">
        <w:t xml:space="preserve">Condic et al </w:t>
      </w:r>
      <w:r w:rsidR="00936502" w:rsidRPr="00936502">
        <w:t xml:space="preserve">2009, 33-40). </w:t>
      </w:r>
    </w:p>
    <w:p w:rsidR="003503CA" w:rsidRDefault="003503CA" w:rsidP="00E83925">
      <w:pPr>
        <w:spacing w:after="0" w:line="480" w:lineRule="auto"/>
        <w:ind w:firstLine="720"/>
      </w:pPr>
      <w:r>
        <w:t>So, if the placenta is a temporary part of the embryo like baby teeth then an abortion pill that pulls the placenta off the uterine wall is like tying a knot in the throat of the nursing baby, which is a killing as it prevents life sustaining nourishment even though the killer was providing the life sustaining nourishment. The parallel for Thomson’s violinist would be blocking the natural tubules in the violinist which have been rerouted to return the filtered blood from the healthy person’s kidneys rather than the violinist’s own kidneys</w:t>
      </w:r>
      <w:r w:rsidR="006D36BF">
        <w:t>.</w:t>
      </w:r>
    </w:p>
    <w:p w:rsidR="00371AF3" w:rsidRDefault="00371AF3" w:rsidP="00371AF3">
      <w:pPr>
        <w:spacing w:after="0" w:line="240" w:lineRule="auto"/>
        <w:jc w:val="center"/>
        <w:rPr>
          <w:b/>
        </w:rPr>
      </w:pPr>
      <w:r>
        <w:rPr>
          <w:b/>
        </w:rPr>
        <w:t>C. If Embryos are Parts of their Mothers then they</w:t>
      </w:r>
      <w:r w:rsidR="00F23677">
        <w:rPr>
          <w:b/>
        </w:rPr>
        <w:t xml:space="preserve"> are</w:t>
      </w:r>
      <w:r>
        <w:rPr>
          <w:b/>
        </w:rPr>
        <w:t xml:space="preserve"> Killed when Extracted</w:t>
      </w:r>
    </w:p>
    <w:p w:rsidR="00371AF3" w:rsidRDefault="00371AF3" w:rsidP="00371AF3">
      <w:pPr>
        <w:spacing w:after="0" w:line="240" w:lineRule="auto"/>
        <w:jc w:val="center"/>
      </w:pPr>
    </w:p>
    <w:p w:rsidR="00936502" w:rsidRPr="00936502" w:rsidRDefault="00D73D31" w:rsidP="00E83925">
      <w:pPr>
        <w:spacing w:after="0" w:line="480" w:lineRule="auto"/>
        <w:ind w:firstLine="720"/>
      </w:pPr>
      <w:r>
        <w:lastRenderedPageBreak/>
        <w:t>Let</w:t>
      </w:r>
      <w:r w:rsidR="00C172DA">
        <w:t>’</w:t>
      </w:r>
      <w:r>
        <w:t>s assume</w:t>
      </w:r>
      <w:r w:rsidR="00C172DA">
        <w:t>, for the sake of argument,</w:t>
      </w:r>
      <w:r>
        <w:t xml:space="preserve"> the placenta is </w:t>
      </w:r>
      <w:r w:rsidR="004625E6">
        <w:t xml:space="preserve">not a part of the embryo or is an </w:t>
      </w:r>
      <w:r>
        <w:t xml:space="preserve">undamaged </w:t>
      </w:r>
      <w:r w:rsidR="004625E6">
        <w:t xml:space="preserve">part </w:t>
      </w:r>
      <w:r>
        <w:t>when the embryo is removed from the uterine wall</w:t>
      </w:r>
      <w:r w:rsidR="006D36BF">
        <w:t xml:space="preserve">. </w:t>
      </w:r>
      <w:r>
        <w:t xml:space="preserve">Even </w:t>
      </w:r>
      <w:r w:rsidR="004625E6">
        <w:t xml:space="preserve">if </w:t>
      </w:r>
      <w:r>
        <w:t>a</w:t>
      </w:r>
      <w:r w:rsidR="004625E6">
        <w:t xml:space="preserve">n embryo is </w:t>
      </w:r>
      <w:r>
        <w:t xml:space="preserve">removed without initiating lethal pathologies, an argument can still be made that the embryo is killed if </w:t>
      </w:r>
      <w:r w:rsidR="004625E6">
        <w:t xml:space="preserve">so </w:t>
      </w:r>
      <w:r>
        <w:t xml:space="preserve">removed. </w:t>
      </w:r>
      <w:r w:rsidR="00ED04B0">
        <w:t xml:space="preserve">We must </w:t>
      </w:r>
      <w:r w:rsidR="00FD5523">
        <w:t xml:space="preserve">distinguish between </w:t>
      </w:r>
      <w:r w:rsidR="00ED04B0">
        <w:t>c</w:t>
      </w:r>
      <w:r w:rsidR="003503CA" w:rsidRPr="00920C71">
        <w:rPr>
          <w:i/>
        </w:rPr>
        <w:t xml:space="preserve">utting off parts </w:t>
      </w:r>
      <w:r w:rsidR="003503CA">
        <w:rPr>
          <w:i/>
        </w:rPr>
        <w:t xml:space="preserve">of </w:t>
      </w:r>
      <w:r w:rsidR="00FD5523">
        <w:rPr>
          <w:i/>
        </w:rPr>
        <w:t xml:space="preserve">a </w:t>
      </w:r>
      <w:r w:rsidR="003503CA">
        <w:rPr>
          <w:i/>
        </w:rPr>
        <w:t xml:space="preserve">woman </w:t>
      </w:r>
      <w:r w:rsidR="00FD5523">
        <w:rPr>
          <w:i/>
        </w:rPr>
        <w:t xml:space="preserve">which </w:t>
      </w:r>
      <w:r w:rsidR="003503CA">
        <w:rPr>
          <w:i/>
        </w:rPr>
        <w:t xml:space="preserve">kills those parts </w:t>
      </w:r>
      <w:r w:rsidR="00ED04B0" w:rsidRPr="00F23677">
        <w:t>from</w:t>
      </w:r>
      <w:r w:rsidR="003503CA">
        <w:rPr>
          <w:i/>
        </w:rPr>
        <w:t xml:space="preserve"> allowing disjoint </w:t>
      </w:r>
      <w:r w:rsidR="00474EE6">
        <w:rPr>
          <w:i/>
        </w:rPr>
        <w:t xml:space="preserve">dependent </w:t>
      </w:r>
      <w:r w:rsidR="003503CA">
        <w:rPr>
          <w:i/>
        </w:rPr>
        <w:t xml:space="preserve">wholes to wither and die. </w:t>
      </w:r>
      <w:r w:rsidR="003503CA">
        <w:t>Th</w:t>
      </w:r>
      <w:r w:rsidR="00B51FD5">
        <w:t xml:space="preserve">is </w:t>
      </w:r>
      <w:r w:rsidR="003503CA">
        <w:t>distinction assumes a contentious metaphysic (Kingma, 2019</w:t>
      </w:r>
      <w:r w:rsidR="00C16E53">
        <w:t>, 2020</w:t>
      </w:r>
      <w:r w:rsidR="003503CA">
        <w:t xml:space="preserve">), but one with which many proponents of abortion are sympathetic - that the embryo is a part of the mother until birth. </w:t>
      </w:r>
      <w:r w:rsidR="00D71C1F">
        <w:t xml:space="preserve">There is much that can be said in favor of this metaphysic of fetal parthood. </w:t>
      </w:r>
      <w:r w:rsidR="003503CA">
        <w:t xml:space="preserve">Embryos are connected to their mothers </w:t>
      </w:r>
      <w:r w:rsidR="004625E6">
        <w:t xml:space="preserve">via </w:t>
      </w:r>
      <w:r w:rsidR="00D71C1F">
        <w:t xml:space="preserve">either </w:t>
      </w:r>
      <w:r w:rsidR="004625E6">
        <w:t xml:space="preserve">umbilical cord or placenta </w:t>
      </w:r>
      <w:r w:rsidR="003503CA">
        <w:t>just as many other organs are connected via a stalk to your body</w:t>
      </w:r>
      <w:r w:rsidR="003E3623">
        <w:t xml:space="preserve"> (</w:t>
      </w:r>
      <w:r w:rsidR="00EE003D">
        <w:t xml:space="preserve">Kingma: </w:t>
      </w:r>
      <w:r w:rsidR="003E3623">
        <w:t xml:space="preserve">2019, </w:t>
      </w:r>
      <w:r w:rsidR="00B917E8">
        <w:t>621;</w:t>
      </w:r>
      <w:r w:rsidR="001460D9">
        <w:t xml:space="preserve"> 2020</w:t>
      </w:r>
      <w:r w:rsidR="00B917E8">
        <w:t>)</w:t>
      </w:r>
      <w:r w:rsidR="003503CA">
        <w:t xml:space="preserve">. </w:t>
      </w:r>
      <w:r w:rsidR="00EE6EF9">
        <w:t>The umbilical cord is attached to the embryo akin to the way a tail is attached to a cat. There is no physical discontinuity</w:t>
      </w:r>
      <w:r w:rsidR="003650F7">
        <w:t xml:space="preserve"> separating the mother from the embryo at the umbilical cord, nor in the placental region as the maternal and embryonic placenta are intertwined and embedded in the uterine wall. </w:t>
      </w:r>
      <w:r w:rsidR="003503CA">
        <w:t xml:space="preserve">The embryo is not a mere occupant in a niche as </w:t>
      </w:r>
      <w:r w:rsidR="003650F7">
        <w:t xml:space="preserve">Smith and Brogaard claim characterizes substances like </w:t>
      </w:r>
      <w:r w:rsidR="003503CA">
        <w:t xml:space="preserve">readers in </w:t>
      </w:r>
      <w:r w:rsidR="003650F7">
        <w:t xml:space="preserve">their </w:t>
      </w:r>
      <w:r w:rsidR="003503CA">
        <w:t>offices or homes</w:t>
      </w:r>
      <w:r w:rsidR="003650F7">
        <w:t xml:space="preserve"> (Smith and Brogaard, 2003)</w:t>
      </w:r>
      <w:r w:rsidR="003503CA">
        <w:t>.</w:t>
      </w:r>
      <w:r w:rsidR="00B917E8">
        <w:t xml:space="preserve"> </w:t>
      </w:r>
      <w:r w:rsidR="00D71C1F">
        <w:t xml:space="preserve">The pregnant woman and embryo share a boundary and parts (Kingma, 2020), unlike you and violinist. </w:t>
      </w:r>
      <w:r w:rsidR="00B917E8">
        <w:t>Homeostasis</w:t>
      </w:r>
      <w:r w:rsidR="00172327">
        <w:t xml:space="preserve"> and metabolism are </w:t>
      </w:r>
      <w:r w:rsidR="00B917E8">
        <w:t xml:space="preserve">often considered important in individuating organisms and the embryo is subject to homeostatic regulation by the mother </w:t>
      </w:r>
      <w:r w:rsidR="00172327">
        <w:t xml:space="preserve">and metabolically dependent upon her (Kingma 2019, 624-626). Immunological tolerance is another consideration </w:t>
      </w:r>
      <w:r w:rsidR="00157D79">
        <w:t xml:space="preserve">in discussions of biological individuation and the embryo is tolerated by the mother (2019, 629). </w:t>
      </w:r>
      <w:r w:rsidR="00936502">
        <w:t xml:space="preserve">One </w:t>
      </w:r>
      <w:r w:rsidR="004210FE">
        <w:t xml:space="preserve">can’t deny embryonic parthood by appealing </w:t>
      </w:r>
      <w:r w:rsidR="00936502">
        <w:t>to distinct DNA because the embryo could be a clone of the mother</w:t>
      </w:r>
      <w:r w:rsidR="00157D79">
        <w:t xml:space="preserve"> (Hershenov 2018, 273).</w:t>
      </w:r>
      <w:r w:rsidR="00936502" w:rsidRPr="00936502">
        <w:rPr>
          <w:rFonts w:cs="Times New Roman"/>
          <w:szCs w:val="20"/>
        </w:rPr>
        <w:t xml:space="preserve"> </w:t>
      </w:r>
      <w:r w:rsidR="00936502">
        <w:rPr>
          <w:rFonts w:cs="Times New Roman"/>
          <w:szCs w:val="20"/>
        </w:rPr>
        <w:t xml:space="preserve">Nor should one deny embryonic parthood on the grounds that the embryo doesn’t contribute to the mother’s survival as do most of her parts. </w:t>
      </w:r>
      <w:r w:rsidR="00936502">
        <w:t>S</w:t>
      </w:r>
      <w:r w:rsidR="00936502" w:rsidRPr="00936502">
        <w:t xml:space="preserve">ex organs and breasts don’t contribute to vital life processes. They serve biological goals of reproduction. Breasts produce milk that enable offspring to survive but don’t contribute to sustaining the life of the nursing mother as do her heart and lungs. </w:t>
      </w:r>
      <w:r w:rsidR="00936502" w:rsidRPr="00936502">
        <w:lastRenderedPageBreak/>
        <w:t>Likewise</w:t>
      </w:r>
      <w:r w:rsidR="00936502">
        <w:t>,</w:t>
      </w:r>
      <w:r w:rsidR="00936502" w:rsidRPr="00936502">
        <w:t xml:space="preserve"> for parts that produce, store, and protect gametes or serve to attract mates. Nevertheless, few would deny their status as body parts.</w:t>
      </w:r>
      <w:r w:rsidR="000927B6">
        <w:rPr>
          <w:rStyle w:val="FootnoteReference"/>
        </w:rPr>
        <w:footnoteReference w:id="25"/>
      </w:r>
      <w:r w:rsidR="00936502" w:rsidRPr="00936502">
        <w:t xml:space="preserve"> </w:t>
      </w:r>
    </w:p>
    <w:p w:rsidR="003503CA" w:rsidRDefault="003503CA" w:rsidP="00E83925">
      <w:pPr>
        <w:spacing w:after="0" w:line="480" w:lineRule="auto"/>
        <w:ind w:firstLine="720"/>
      </w:pPr>
      <w:r>
        <w:t xml:space="preserve">If </w:t>
      </w:r>
      <w:r w:rsidR="004625E6">
        <w:t xml:space="preserve">Kingma is wrong and </w:t>
      </w:r>
      <w:r>
        <w:t>embryos aren’t parts of the mother, then it might be more plausible to say withdrawing support lets them die as in the case of your detaching Thomson’s violinist. You withdraw support by cutting the tube from your body to the violinist’s. The tube is n</w:t>
      </w:r>
      <w:r w:rsidR="00ED04B0">
        <w:t xml:space="preserve">either part of your body or the </w:t>
      </w:r>
      <w:r>
        <w:t xml:space="preserve">violinist’s body. But if you cut off parts of your own body, then assuming your bodily parts can die in a relevant sense, you have killed them, not let them die. If you cut out an organ like your heart or brain, you are not letting the heart or brain die but are killing the respective organ. If you don’t think organs are alive and thus can’t be killed, then focus upon the </w:t>
      </w:r>
      <w:r w:rsidR="00214B49">
        <w:t xml:space="preserve">living </w:t>
      </w:r>
      <w:r>
        <w:t xml:space="preserve">cells within the amputated organ. They are killed, not allowed to die when the organ in which they function and receive support is severed from the body. So, taking a pill that destroys the uterine lining and detaches the placenta through which an embryo is nourished is killing even if it is done by the person providing the support. </w:t>
      </w:r>
    </w:p>
    <w:p w:rsidR="00D73D31" w:rsidRDefault="00D73D31" w:rsidP="00E83925">
      <w:pPr>
        <w:autoSpaceDE w:val="0"/>
        <w:autoSpaceDN w:val="0"/>
        <w:adjustRightInd w:val="0"/>
        <w:spacing w:after="0" w:line="480" w:lineRule="auto"/>
        <w:ind w:firstLine="720"/>
      </w:pPr>
      <w:r w:rsidRPr="00D73D31">
        <w:t xml:space="preserve">My point can be reinforced by </w:t>
      </w:r>
      <w:r w:rsidR="00B51FD5">
        <w:t>considering fatal amputations</w:t>
      </w:r>
      <w:r>
        <w:t>. If you cut off your head and then die (it doesn’t matter whether you</w:t>
      </w:r>
      <w:r w:rsidR="00B51FD5">
        <w:t xml:space="preserve">r metaphysical commitments lead you to maintain that you would be briefly a </w:t>
      </w:r>
      <w:r>
        <w:t>small head</w:t>
      </w:r>
      <w:r w:rsidR="00B51FD5">
        <w:t>-</w:t>
      </w:r>
      <w:r>
        <w:t xml:space="preserve">size organism or the headless body), the lack of support the one </w:t>
      </w:r>
      <w:r w:rsidR="00214B49">
        <w:t xml:space="preserve">detached part </w:t>
      </w:r>
      <w:r>
        <w:t xml:space="preserve">doesn’t provide the other isn’t a case of letting die. We </w:t>
      </w:r>
      <w:r w:rsidR="00214B49">
        <w:t xml:space="preserve">would </w:t>
      </w:r>
      <w:r>
        <w:t xml:space="preserve">say </w:t>
      </w:r>
      <w:r w:rsidR="009D6143">
        <w:t xml:space="preserve">separating </w:t>
      </w:r>
      <w:r>
        <w:t xml:space="preserve">the head complement </w:t>
      </w:r>
      <w:r w:rsidR="009D6143">
        <w:t xml:space="preserve">from </w:t>
      </w:r>
      <w:r>
        <w:t xml:space="preserve">the head-size organism </w:t>
      </w:r>
      <w:r w:rsidR="00214B49">
        <w:t xml:space="preserve">kills by cutting off </w:t>
      </w:r>
      <w:r w:rsidR="009D6143">
        <w:t xml:space="preserve">the support of the other. </w:t>
      </w:r>
      <w:r w:rsidR="000D271D">
        <w:t>The cutting imposes a fatal pathology, it doesn’t allow an exi</w:t>
      </w:r>
      <w:r w:rsidR="00157603">
        <w:t>s</w:t>
      </w:r>
      <w:r w:rsidR="000D271D">
        <w:t xml:space="preserve">ting threat to damage the body. </w:t>
      </w:r>
    </w:p>
    <w:p w:rsidR="00D73D31" w:rsidRDefault="00D73D31" w:rsidP="00E83925">
      <w:pPr>
        <w:spacing w:after="0" w:line="480" w:lineRule="auto"/>
        <w:jc w:val="center"/>
        <w:rPr>
          <w:b/>
        </w:rPr>
      </w:pPr>
      <w:r w:rsidRPr="00D73D31">
        <w:rPr>
          <w:b/>
        </w:rPr>
        <w:lastRenderedPageBreak/>
        <w:t>Conclusion</w:t>
      </w:r>
    </w:p>
    <w:p w:rsidR="00875C92" w:rsidRPr="00875C92" w:rsidRDefault="006934C7" w:rsidP="00E83925">
      <w:pPr>
        <w:spacing w:line="480" w:lineRule="auto"/>
        <w:ind w:firstLine="720"/>
      </w:pPr>
      <w:r w:rsidRPr="005C68BF">
        <w:t>I have assumed rather than argued that when killings are morally evaluable then, all other things being equal, they are worse than letting die</w:t>
      </w:r>
      <w:r w:rsidR="009D6143" w:rsidRPr="005C68BF">
        <w:rPr>
          <w:rStyle w:val="FootnoteReference"/>
        </w:rPr>
        <w:footnoteReference w:id="26"/>
      </w:r>
      <w:r w:rsidR="00494A32" w:rsidRPr="005C68BF">
        <w:t xml:space="preserve"> </w:t>
      </w:r>
      <w:r w:rsidR="00E60182" w:rsidRPr="005C68BF">
        <w:rPr>
          <w:rStyle w:val="FootnoteReference"/>
        </w:rPr>
        <w:footnoteReference w:id="27"/>
      </w:r>
      <w:r w:rsidR="00494A32">
        <w:t xml:space="preserve">What I have done is </w:t>
      </w:r>
      <w:r w:rsidR="00C56163">
        <w:t xml:space="preserve">defend </w:t>
      </w:r>
      <w:r w:rsidR="00494A32">
        <w:t xml:space="preserve">a theory about how to distinguish killing from letting die. If </w:t>
      </w:r>
      <w:r w:rsidR="00432AA5">
        <w:t xml:space="preserve">it is </w:t>
      </w:r>
      <w:r w:rsidR="00494A32">
        <w:t xml:space="preserve">correct about which cases of withdrawing aid are best construed as killings and which </w:t>
      </w:r>
      <w:r w:rsidR="00631B43">
        <w:t>as</w:t>
      </w:r>
      <w:r w:rsidR="00494A32">
        <w:t xml:space="preserve"> letting die, </w:t>
      </w:r>
      <w:r w:rsidR="00674DBC">
        <w:t>then hysterotomies</w:t>
      </w:r>
      <w:r w:rsidR="004B7E09">
        <w:t xml:space="preserve"> </w:t>
      </w:r>
      <w:r w:rsidR="00494A32">
        <w:t xml:space="preserve">will be classified as the former. </w:t>
      </w:r>
      <w:r w:rsidR="00674DBC" w:rsidRPr="00C8732B">
        <w:t>Methotrexate</w:t>
      </w:r>
      <w:r w:rsidR="00674DBC">
        <w:t xml:space="preserve"> </w:t>
      </w:r>
      <w:r w:rsidR="00631B43">
        <w:t xml:space="preserve">is an abortion pill that </w:t>
      </w:r>
      <w:r w:rsidR="00674DBC">
        <w:t>clearly kills the fetus. It seems plausible that mifepristone also damages the placenta, an organ of the embryo, rather than just prevents nourishment from reaching the embryo</w:t>
      </w:r>
      <w:r w:rsidR="00631B43">
        <w:t>, and is a killing as much as squeezing a throat so tightly the esophagus is damaged and no food passes through it</w:t>
      </w:r>
      <w:r w:rsidR="00674DBC">
        <w:t xml:space="preserve">. Even if the </w:t>
      </w:r>
      <w:r w:rsidR="00631B43">
        <w:t xml:space="preserve">operations </w:t>
      </w:r>
      <w:r w:rsidR="00674DBC">
        <w:t xml:space="preserve">of </w:t>
      </w:r>
      <w:r w:rsidR="00631B43">
        <w:t xml:space="preserve">RU-486 </w:t>
      </w:r>
      <w:r w:rsidR="00C56163">
        <w:t>are</w:t>
      </w:r>
      <w:r w:rsidR="00631B43">
        <w:t xml:space="preserve"> not as I </w:t>
      </w:r>
      <w:r w:rsidR="00C56163">
        <w:t xml:space="preserve">have </w:t>
      </w:r>
      <w:r w:rsidR="00631B43">
        <w:t>conjectured</w:t>
      </w:r>
      <w:r w:rsidR="00674DBC">
        <w:t>, if the embryo is a part of the mother th</w:t>
      </w:r>
      <w:r w:rsidR="00ED04B0">
        <w:t>e</w:t>
      </w:r>
      <w:r w:rsidR="00674DBC">
        <w:t xml:space="preserve">n just </w:t>
      </w:r>
      <w:r w:rsidR="00ED04B0">
        <w:t xml:space="preserve">as </w:t>
      </w:r>
      <w:r w:rsidR="00674DBC">
        <w:t>the cutting off of any other part</w:t>
      </w:r>
      <w:r w:rsidR="00ED04B0">
        <w:t xml:space="preserve"> kills the detached part, the extracted embryo is likewise killed rather than allowed to die </w:t>
      </w:r>
      <w:r w:rsidR="00674DBC">
        <w:t xml:space="preserve"> </w:t>
      </w:r>
      <w:r w:rsidR="00631B43">
        <w:t xml:space="preserve">Therefore, </w:t>
      </w:r>
      <w:r w:rsidR="00674DBC">
        <w:t xml:space="preserve">if </w:t>
      </w:r>
      <w:r w:rsidR="000552D5">
        <w:t>p</w:t>
      </w:r>
      <w:r w:rsidR="00494A32">
        <w:t>ro-lifers believe letting a</w:t>
      </w:r>
      <w:r w:rsidR="000552D5">
        <w:t xml:space="preserve">n innocent human being </w:t>
      </w:r>
      <w:r w:rsidR="00C56163">
        <w:t xml:space="preserve">die </w:t>
      </w:r>
      <w:r w:rsidR="00494A32">
        <w:t xml:space="preserve">is not as morally troubling as killing an innocent, </w:t>
      </w:r>
      <w:r w:rsidR="00C56163">
        <w:t xml:space="preserve">then </w:t>
      </w:r>
      <w:r w:rsidR="00631B43">
        <w:t xml:space="preserve">that doesn’t prevent them from asserting </w:t>
      </w:r>
      <w:r w:rsidR="009D6143">
        <w:t xml:space="preserve">that </w:t>
      </w:r>
      <w:r w:rsidR="00494A32">
        <w:t>extraction abortions</w:t>
      </w:r>
      <w:r w:rsidR="009D6143">
        <w:t xml:space="preserve"> are as wrong as dismemberment abortions.</w:t>
      </w:r>
    </w:p>
    <w:p w:rsidR="00126CF3" w:rsidRPr="00EA1A06" w:rsidRDefault="00126CF3" w:rsidP="00E83925">
      <w:pPr>
        <w:spacing w:line="480" w:lineRule="auto"/>
        <w:jc w:val="center"/>
        <w:rPr>
          <w:b/>
        </w:rPr>
      </w:pPr>
      <w:r w:rsidRPr="00EA1A06">
        <w:rPr>
          <w:b/>
        </w:rPr>
        <w:t>Bibliography</w:t>
      </w:r>
    </w:p>
    <w:p w:rsidR="00D37E45" w:rsidRDefault="00B835DD" w:rsidP="00E83925">
      <w:pPr>
        <w:spacing w:after="0" w:line="480" w:lineRule="auto"/>
        <w:rPr>
          <w:rFonts w:cs="ITCGaramondStd-LtIta"/>
          <w:iCs/>
          <w:color w:val="000000"/>
        </w:rPr>
      </w:pPr>
      <w:r>
        <w:rPr>
          <w:rFonts w:eastAsia="Times New Roman" w:cs="Times New Roman"/>
        </w:rPr>
        <w:t>Beebe, H</w:t>
      </w:r>
      <w:r w:rsidR="009F41E6">
        <w:rPr>
          <w:rFonts w:eastAsia="Times New Roman" w:cs="Times New Roman"/>
        </w:rPr>
        <w:t>.</w:t>
      </w:r>
      <w:r w:rsidR="00936502">
        <w:rPr>
          <w:rFonts w:eastAsia="Times New Roman" w:cs="Times New Roman"/>
        </w:rPr>
        <w:t xml:space="preserve"> 2004. Causing and </w:t>
      </w:r>
      <w:r w:rsidR="00940A0A">
        <w:rPr>
          <w:rFonts w:eastAsia="Times New Roman" w:cs="Times New Roman"/>
        </w:rPr>
        <w:t>n</w:t>
      </w:r>
      <w:r w:rsidR="00936502">
        <w:rPr>
          <w:rFonts w:eastAsia="Times New Roman" w:cs="Times New Roman"/>
        </w:rPr>
        <w:t>othingness</w:t>
      </w:r>
      <w:r w:rsidR="00940A0A">
        <w:rPr>
          <w:rFonts w:eastAsia="Times New Roman" w:cs="Times New Roman"/>
        </w:rPr>
        <w:t>.</w:t>
      </w:r>
      <w:r w:rsidR="00936502">
        <w:rPr>
          <w:rFonts w:eastAsia="Times New Roman" w:cs="Times New Roman"/>
        </w:rPr>
        <w:t xml:space="preserve"> </w:t>
      </w:r>
      <w:r w:rsidR="00940A0A">
        <w:rPr>
          <w:rFonts w:eastAsia="Times New Roman" w:cs="Times New Roman"/>
        </w:rPr>
        <w:t xml:space="preserve">In </w:t>
      </w:r>
      <w:r w:rsidR="002E186C" w:rsidRPr="00936502">
        <w:rPr>
          <w:rFonts w:cs="ITCGaramondStd-LtIta"/>
          <w:i/>
          <w:iCs/>
          <w:color w:val="000000"/>
        </w:rPr>
        <w:t>Causation and Counterfactuals</w:t>
      </w:r>
      <w:r w:rsidR="002E186C">
        <w:rPr>
          <w:rFonts w:cs="ITCGaramondStd-LtIta"/>
          <w:iCs/>
          <w:color w:val="000000"/>
        </w:rPr>
        <w:t xml:space="preserve">. </w:t>
      </w:r>
      <w:r w:rsidR="00940A0A">
        <w:rPr>
          <w:rFonts w:cs="ITCGaramondStd-LtIta"/>
          <w:iCs/>
          <w:color w:val="000000"/>
        </w:rPr>
        <w:t xml:space="preserve">(pp. </w:t>
      </w:r>
      <w:r w:rsidR="00940A0A">
        <w:rPr>
          <w:rFonts w:eastAsia="Times New Roman" w:cs="Times New Roman"/>
        </w:rPr>
        <w:t>291-308),</w:t>
      </w:r>
    </w:p>
    <w:p w:rsidR="00EA5AEF" w:rsidRDefault="00940A0A" w:rsidP="00E83925">
      <w:pPr>
        <w:spacing w:after="0" w:line="480" w:lineRule="auto"/>
        <w:ind w:firstLine="720"/>
        <w:rPr>
          <w:rFonts w:cs="ITCGaramondStd-LtIta"/>
          <w:iCs/>
          <w:color w:val="000000"/>
        </w:rPr>
      </w:pPr>
      <w:r>
        <w:rPr>
          <w:rFonts w:eastAsia="Times New Roman" w:cs="Times New Roman"/>
        </w:rPr>
        <w:lastRenderedPageBreak/>
        <w:t xml:space="preserve">Collins, Hall, Paul (Eds). </w:t>
      </w:r>
      <w:r w:rsidR="002E186C">
        <w:rPr>
          <w:rFonts w:cs="ITCGaramondStd-LtIta"/>
          <w:iCs/>
          <w:color w:val="000000"/>
        </w:rPr>
        <w:t xml:space="preserve">Cambridge, Ma: MIT Press. </w:t>
      </w:r>
    </w:p>
    <w:p w:rsidR="00EA5AEF" w:rsidRDefault="00EA5AEF" w:rsidP="00E83925">
      <w:pPr>
        <w:spacing w:after="0" w:line="480" w:lineRule="auto"/>
        <w:rPr>
          <w:rFonts w:eastAsia="Times New Roman" w:cs="Times New Roman"/>
        </w:rPr>
      </w:pPr>
      <w:r w:rsidRPr="005C3150">
        <w:rPr>
          <w:rFonts w:eastAsia="Times New Roman" w:cs="Times New Roman"/>
        </w:rPr>
        <w:t>Binder, G</w:t>
      </w:r>
      <w:r>
        <w:rPr>
          <w:rFonts w:eastAsia="Times New Roman" w:cs="Times New Roman"/>
        </w:rPr>
        <w:t>.</w:t>
      </w:r>
      <w:r w:rsidRPr="005C3150">
        <w:rPr>
          <w:rFonts w:eastAsia="Times New Roman" w:cs="Times New Roman"/>
        </w:rPr>
        <w:t xml:space="preserve"> 2007</w:t>
      </w:r>
      <w:r>
        <w:rPr>
          <w:rFonts w:eastAsia="Times New Roman" w:cs="Times New Roman"/>
        </w:rPr>
        <w:t>.</w:t>
      </w:r>
      <w:r w:rsidRPr="005C3150">
        <w:rPr>
          <w:rFonts w:eastAsia="Times New Roman" w:cs="Times New Roman"/>
        </w:rPr>
        <w:t xml:space="preserve"> The </w:t>
      </w:r>
      <w:r>
        <w:rPr>
          <w:rFonts w:eastAsia="Times New Roman" w:cs="Times New Roman"/>
        </w:rPr>
        <w:t>m</w:t>
      </w:r>
      <w:r w:rsidRPr="005C3150">
        <w:rPr>
          <w:rFonts w:eastAsia="Times New Roman" w:cs="Times New Roman"/>
        </w:rPr>
        <w:t xml:space="preserve">eaning of </w:t>
      </w:r>
      <w:r>
        <w:rPr>
          <w:rFonts w:eastAsia="Times New Roman" w:cs="Times New Roman"/>
        </w:rPr>
        <w:t>k</w:t>
      </w:r>
      <w:r w:rsidRPr="005C3150">
        <w:rPr>
          <w:rFonts w:eastAsia="Times New Roman" w:cs="Times New Roman"/>
        </w:rPr>
        <w:t>illing</w:t>
      </w:r>
      <w:r>
        <w:rPr>
          <w:rFonts w:eastAsia="Times New Roman" w:cs="Times New Roman"/>
        </w:rPr>
        <w:t>. In:</w:t>
      </w:r>
      <w:r w:rsidRPr="00EA5AEF">
        <w:rPr>
          <w:rFonts w:eastAsia="Times New Roman" w:cs="Times New Roman"/>
          <w:i/>
        </w:rPr>
        <w:t xml:space="preserve"> Modern Histories of Crime and Punishment</w:t>
      </w:r>
      <w:r w:rsidRPr="005C3150">
        <w:rPr>
          <w:rFonts w:eastAsia="Times New Roman" w:cs="Times New Roman"/>
        </w:rPr>
        <w:t xml:space="preserve">, </w:t>
      </w:r>
      <w:r>
        <w:rPr>
          <w:rFonts w:eastAsia="Times New Roman" w:cs="Times New Roman"/>
        </w:rPr>
        <w:t>(</w:t>
      </w:r>
      <w:r w:rsidRPr="005C3150">
        <w:rPr>
          <w:rFonts w:eastAsia="Times New Roman" w:cs="Times New Roman"/>
        </w:rPr>
        <w:t>pp. 88-</w:t>
      </w:r>
    </w:p>
    <w:p w:rsidR="00EA5AEF" w:rsidRPr="005C3150" w:rsidRDefault="00EA5AEF" w:rsidP="00E83925">
      <w:pPr>
        <w:spacing w:after="0" w:line="480" w:lineRule="auto"/>
        <w:ind w:firstLine="720"/>
        <w:rPr>
          <w:rFonts w:eastAsia="Times New Roman" w:cs="Times New Roman"/>
        </w:rPr>
      </w:pPr>
      <w:r w:rsidRPr="005C3150">
        <w:rPr>
          <w:rFonts w:eastAsia="Times New Roman" w:cs="Times New Roman"/>
        </w:rPr>
        <w:t>114</w:t>
      </w:r>
      <w:r>
        <w:rPr>
          <w:rFonts w:eastAsia="Times New Roman" w:cs="Times New Roman"/>
        </w:rPr>
        <w:t>)</w:t>
      </w:r>
      <w:r w:rsidRPr="005C3150">
        <w:rPr>
          <w:rFonts w:eastAsia="Times New Roman" w:cs="Times New Roman"/>
        </w:rPr>
        <w:t xml:space="preserve">, </w:t>
      </w:r>
      <w:r>
        <w:rPr>
          <w:rFonts w:eastAsia="Times New Roman" w:cs="Times New Roman"/>
        </w:rPr>
        <w:t xml:space="preserve">(eds) </w:t>
      </w:r>
      <w:r w:rsidRPr="005C3150">
        <w:rPr>
          <w:rFonts w:eastAsia="Times New Roman" w:cs="Times New Roman"/>
        </w:rPr>
        <w:t>M</w:t>
      </w:r>
      <w:r>
        <w:rPr>
          <w:rFonts w:eastAsia="Times New Roman" w:cs="Times New Roman"/>
        </w:rPr>
        <w:t>.</w:t>
      </w:r>
      <w:r w:rsidRPr="005C3150">
        <w:rPr>
          <w:rFonts w:eastAsia="Times New Roman" w:cs="Times New Roman"/>
        </w:rPr>
        <w:t xml:space="preserve"> D. </w:t>
      </w:r>
      <w:proofErr w:type="spellStart"/>
      <w:r w:rsidRPr="005C3150">
        <w:rPr>
          <w:rFonts w:eastAsia="Times New Roman" w:cs="Times New Roman"/>
        </w:rPr>
        <w:t>Dubber</w:t>
      </w:r>
      <w:proofErr w:type="spellEnd"/>
      <w:r w:rsidRPr="005C3150">
        <w:rPr>
          <w:rFonts w:eastAsia="Times New Roman" w:cs="Times New Roman"/>
        </w:rPr>
        <w:t>, L</w:t>
      </w:r>
      <w:r>
        <w:rPr>
          <w:rFonts w:eastAsia="Times New Roman" w:cs="Times New Roman"/>
        </w:rPr>
        <w:t>.</w:t>
      </w:r>
      <w:r w:rsidRPr="005C3150">
        <w:rPr>
          <w:rFonts w:eastAsia="Times New Roman" w:cs="Times New Roman"/>
        </w:rPr>
        <w:t xml:space="preserve"> Farmer</w:t>
      </w:r>
      <w:r w:rsidR="00E61039">
        <w:rPr>
          <w:rFonts w:eastAsia="Times New Roman" w:cs="Times New Roman"/>
        </w:rPr>
        <w:t>. Palo Alto: Stanford University Press.</w:t>
      </w:r>
      <w:r w:rsidRPr="005C3150">
        <w:rPr>
          <w:rFonts w:eastAsia="Times New Roman" w:cs="Times New Roman"/>
        </w:rPr>
        <w:t xml:space="preserve"> </w:t>
      </w:r>
    </w:p>
    <w:p w:rsidR="000E5F77" w:rsidRDefault="000E5F77" w:rsidP="00E83925">
      <w:pPr>
        <w:spacing w:after="0" w:line="480" w:lineRule="auto"/>
        <w:rPr>
          <w:rStyle w:val="citation"/>
        </w:rPr>
      </w:pPr>
      <w:r>
        <w:rPr>
          <w:rStyle w:val="citation"/>
        </w:rPr>
        <w:t xml:space="preserve">Bishop, J.P. 2006. Euthanasia, efficiency, and the historical distinction between killing a patient and </w:t>
      </w:r>
    </w:p>
    <w:p w:rsidR="000E5F77" w:rsidRDefault="000E5F77" w:rsidP="00E83925">
      <w:pPr>
        <w:spacing w:after="0" w:line="480" w:lineRule="auto"/>
        <w:ind w:firstLine="720"/>
        <w:rPr>
          <w:rStyle w:val="pubinfo"/>
        </w:rPr>
      </w:pPr>
      <w:r>
        <w:rPr>
          <w:rStyle w:val="citation"/>
        </w:rPr>
        <w:t xml:space="preserve">allowing a patient to die- </w:t>
      </w:r>
      <w:r>
        <w:rPr>
          <w:rStyle w:val="pubyear"/>
        </w:rPr>
        <w:t>2006</w:t>
      </w:r>
      <w:r>
        <w:rPr>
          <w:rStyle w:val="citation"/>
        </w:rPr>
        <w:t xml:space="preserve"> - </w:t>
      </w:r>
      <w:r>
        <w:rPr>
          <w:rStyle w:val="Emphasis"/>
        </w:rPr>
        <w:t>Journal of Medical Ethics</w:t>
      </w:r>
      <w:r>
        <w:rPr>
          <w:rStyle w:val="pubinfo"/>
        </w:rPr>
        <w:t xml:space="preserve"> 32:4</w:t>
      </w:r>
      <w:r w:rsidR="004950F9">
        <w:rPr>
          <w:rStyle w:val="pubinfo"/>
        </w:rPr>
        <w:t xml:space="preserve">. </w:t>
      </w:r>
      <w:r>
        <w:rPr>
          <w:rStyle w:val="pubinfo"/>
        </w:rPr>
        <w:t>220</w:t>
      </w:r>
      <w:r w:rsidR="004950F9">
        <w:rPr>
          <w:rStyle w:val="pubinfo"/>
        </w:rPr>
        <w:t>-224</w:t>
      </w:r>
      <w:r>
        <w:rPr>
          <w:rStyle w:val="pubinfo"/>
        </w:rPr>
        <w:t>.</w:t>
      </w:r>
    </w:p>
    <w:p w:rsidR="00D37E45" w:rsidRDefault="007A5F5A" w:rsidP="00E83925">
      <w:pPr>
        <w:spacing w:after="0" w:line="480" w:lineRule="auto"/>
        <w:rPr>
          <w:rFonts w:cs="ITCGaramondStd-LtIta"/>
          <w:iCs/>
          <w:color w:val="000000"/>
        </w:rPr>
      </w:pPr>
      <w:r w:rsidRPr="007A5F5A">
        <w:rPr>
          <w:rFonts w:cs="ITCGaramondStd-LtIta"/>
          <w:i/>
          <w:iCs/>
          <w:color w:val="000000"/>
        </w:rPr>
        <w:t>Black's Law Dictionary</w:t>
      </w:r>
      <w:r w:rsidRPr="007A5F5A">
        <w:rPr>
          <w:rFonts w:cs="ITCGaramondStd-LtIta"/>
          <w:iCs/>
          <w:color w:val="000000"/>
        </w:rPr>
        <w:t>, 1968</w:t>
      </w:r>
      <w:r>
        <w:rPr>
          <w:rFonts w:cs="ITCGaramondStd-LtIta"/>
          <w:iCs/>
          <w:color w:val="000000"/>
        </w:rPr>
        <w:t>.</w:t>
      </w:r>
      <w:r w:rsidRPr="007A5F5A">
        <w:rPr>
          <w:rFonts w:cs="ITCGaramondStd-LtIta"/>
          <w:iCs/>
          <w:color w:val="000000"/>
        </w:rPr>
        <w:t xml:space="preserve"> 4th ed.</w:t>
      </w:r>
      <w:r w:rsidR="001E068D">
        <w:rPr>
          <w:rFonts w:cs="ITCGaramondStd-LtIta"/>
          <w:iCs/>
          <w:color w:val="000000"/>
        </w:rPr>
        <w:t xml:space="preserve"> West Publishing Company</w:t>
      </w:r>
    </w:p>
    <w:p w:rsidR="00B61086" w:rsidRDefault="00B61086" w:rsidP="00E83925">
      <w:pPr>
        <w:spacing w:after="0" w:line="480" w:lineRule="auto"/>
        <w:rPr>
          <w:rFonts w:cs="ITCGaramondStd-LtIta"/>
          <w:iCs/>
          <w:color w:val="000000"/>
        </w:rPr>
      </w:pPr>
      <w:r>
        <w:rPr>
          <w:rFonts w:cs="ITCGaramondStd-LtIta"/>
          <w:iCs/>
          <w:color w:val="000000"/>
        </w:rPr>
        <w:t>Boonin, D</w:t>
      </w:r>
      <w:r w:rsidR="009F41E6">
        <w:rPr>
          <w:rFonts w:cs="ITCGaramondStd-LtIta"/>
          <w:iCs/>
          <w:color w:val="000000"/>
        </w:rPr>
        <w:t>avid</w:t>
      </w:r>
      <w:r>
        <w:rPr>
          <w:rFonts w:cs="ITCGaramondStd-LtIta"/>
          <w:iCs/>
          <w:color w:val="000000"/>
        </w:rPr>
        <w:t xml:space="preserve">. 2003. </w:t>
      </w:r>
      <w:r w:rsidRPr="00B61086">
        <w:rPr>
          <w:rFonts w:cs="ITCGaramondStd-LtIta"/>
          <w:i/>
          <w:iCs/>
          <w:color w:val="000000"/>
        </w:rPr>
        <w:t xml:space="preserve">A </w:t>
      </w:r>
      <w:r w:rsidR="00422412">
        <w:rPr>
          <w:rFonts w:cs="ITCGaramondStd-LtIta"/>
          <w:i/>
          <w:iCs/>
          <w:color w:val="000000"/>
        </w:rPr>
        <w:t>d</w:t>
      </w:r>
      <w:r w:rsidRPr="00B61086">
        <w:rPr>
          <w:rFonts w:cs="ITCGaramondStd-LtIta"/>
          <w:i/>
          <w:iCs/>
          <w:color w:val="000000"/>
        </w:rPr>
        <w:t xml:space="preserve">efense of </w:t>
      </w:r>
      <w:r w:rsidR="00422412">
        <w:rPr>
          <w:rFonts w:cs="ITCGaramondStd-LtIta"/>
          <w:i/>
          <w:iCs/>
          <w:color w:val="000000"/>
        </w:rPr>
        <w:t>a</w:t>
      </w:r>
      <w:r w:rsidRPr="00B61086">
        <w:rPr>
          <w:rFonts w:cs="ITCGaramondStd-LtIta"/>
          <w:i/>
          <w:iCs/>
          <w:color w:val="000000"/>
        </w:rPr>
        <w:t>bortion.</w:t>
      </w:r>
      <w:r>
        <w:rPr>
          <w:rFonts w:cs="ITCGaramondStd-LtIta"/>
          <w:iCs/>
          <w:color w:val="000000"/>
        </w:rPr>
        <w:t xml:space="preserve"> New York. Cambridge University Press. </w:t>
      </w:r>
    </w:p>
    <w:p w:rsidR="009F41E6" w:rsidRDefault="00185110" w:rsidP="00E83925">
      <w:pPr>
        <w:spacing w:after="0" w:line="480" w:lineRule="auto"/>
        <w:rPr>
          <w:rFonts w:cs="ITCGaramondStd-LtIta"/>
          <w:iCs/>
          <w:color w:val="000000"/>
        </w:rPr>
      </w:pPr>
      <w:r>
        <w:rPr>
          <w:rFonts w:cs="ITCGaramondStd-LtIta"/>
          <w:iCs/>
          <w:color w:val="000000"/>
        </w:rPr>
        <w:t>Boonin, D</w:t>
      </w:r>
      <w:r w:rsidR="009F41E6">
        <w:rPr>
          <w:rFonts w:cs="ITCGaramondStd-LtIta"/>
          <w:iCs/>
          <w:color w:val="000000"/>
        </w:rPr>
        <w:t>avid</w:t>
      </w:r>
      <w:r w:rsidR="00826FF3">
        <w:rPr>
          <w:rFonts w:cs="ITCGaramondStd-LtIta"/>
          <w:iCs/>
          <w:color w:val="000000"/>
        </w:rPr>
        <w:t xml:space="preserve">. </w:t>
      </w:r>
      <w:r w:rsidR="00856965">
        <w:rPr>
          <w:rFonts w:cs="ITCGaramondStd-LtIta"/>
          <w:iCs/>
          <w:color w:val="000000"/>
        </w:rPr>
        <w:t xml:space="preserve">2019. </w:t>
      </w:r>
      <w:r w:rsidR="00826FF3" w:rsidRPr="00856965">
        <w:rPr>
          <w:rFonts w:cs="ITCGaramondStd-LtIta"/>
          <w:i/>
          <w:iCs/>
          <w:color w:val="000000"/>
        </w:rPr>
        <w:t xml:space="preserve">Beyond Roe: Why </w:t>
      </w:r>
      <w:r w:rsidR="00940A0A">
        <w:rPr>
          <w:rFonts w:cs="ITCGaramondStd-LtIta"/>
          <w:i/>
          <w:iCs/>
          <w:color w:val="000000"/>
        </w:rPr>
        <w:t>a</w:t>
      </w:r>
      <w:r w:rsidR="00826FF3" w:rsidRPr="00856965">
        <w:rPr>
          <w:rFonts w:cs="ITCGaramondStd-LtIta"/>
          <w:i/>
          <w:iCs/>
          <w:color w:val="000000"/>
        </w:rPr>
        <w:t xml:space="preserve">bortion </w:t>
      </w:r>
      <w:r w:rsidR="00940A0A">
        <w:rPr>
          <w:rFonts w:cs="ITCGaramondStd-LtIta"/>
          <w:i/>
          <w:iCs/>
          <w:color w:val="000000"/>
        </w:rPr>
        <w:t>s</w:t>
      </w:r>
      <w:r w:rsidR="00826FF3" w:rsidRPr="00856965">
        <w:rPr>
          <w:rFonts w:cs="ITCGaramondStd-LtIta"/>
          <w:i/>
          <w:iCs/>
          <w:color w:val="000000"/>
        </w:rPr>
        <w:t>hould be</w:t>
      </w:r>
      <w:r w:rsidR="00940A0A">
        <w:rPr>
          <w:rFonts w:cs="ITCGaramondStd-LtIta"/>
          <w:i/>
          <w:iCs/>
          <w:color w:val="000000"/>
        </w:rPr>
        <w:t xml:space="preserve"> l</w:t>
      </w:r>
      <w:r w:rsidR="00826FF3" w:rsidRPr="00856965">
        <w:rPr>
          <w:rFonts w:cs="ITCGaramondStd-LtIta"/>
          <w:i/>
          <w:iCs/>
          <w:color w:val="000000"/>
        </w:rPr>
        <w:t xml:space="preserve">egal </w:t>
      </w:r>
      <w:r w:rsidR="00940A0A">
        <w:rPr>
          <w:rFonts w:cs="ITCGaramondStd-LtIta"/>
          <w:i/>
          <w:iCs/>
          <w:color w:val="000000"/>
        </w:rPr>
        <w:t>e</w:t>
      </w:r>
      <w:r w:rsidR="00856965" w:rsidRPr="00856965">
        <w:rPr>
          <w:rFonts w:cs="ITCGaramondStd-LtIta"/>
          <w:i/>
          <w:iCs/>
          <w:color w:val="000000"/>
        </w:rPr>
        <w:t xml:space="preserve">ven if the </w:t>
      </w:r>
      <w:r w:rsidR="00940A0A">
        <w:rPr>
          <w:rFonts w:cs="ITCGaramondStd-LtIta"/>
          <w:i/>
          <w:iCs/>
          <w:color w:val="000000"/>
        </w:rPr>
        <w:t>f</w:t>
      </w:r>
      <w:r w:rsidR="00856965" w:rsidRPr="00856965">
        <w:rPr>
          <w:rFonts w:cs="ITCGaramondStd-LtIta"/>
          <w:i/>
          <w:iCs/>
          <w:color w:val="000000"/>
        </w:rPr>
        <w:t xml:space="preserve">etus is a </w:t>
      </w:r>
      <w:r w:rsidR="00940A0A">
        <w:rPr>
          <w:rFonts w:cs="ITCGaramondStd-LtIta"/>
          <w:i/>
          <w:iCs/>
          <w:color w:val="000000"/>
        </w:rPr>
        <w:t>p</w:t>
      </w:r>
      <w:r w:rsidR="00856965" w:rsidRPr="00856965">
        <w:rPr>
          <w:rFonts w:cs="ITCGaramondStd-LtIta"/>
          <w:i/>
          <w:iCs/>
          <w:color w:val="000000"/>
        </w:rPr>
        <w:t>erson</w:t>
      </w:r>
      <w:r w:rsidR="00856965">
        <w:rPr>
          <w:rFonts w:cs="ITCGaramondStd-LtIta"/>
          <w:i/>
          <w:iCs/>
          <w:color w:val="000000"/>
        </w:rPr>
        <w:t>.</w:t>
      </w:r>
      <w:r w:rsidR="00940A0A">
        <w:rPr>
          <w:rFonts w:cs="ITCGaramondStd-LtIta"/>
          <w:iCs/>
          <w:color w:val="000000"/>
        </w:rPr>
        <w:t xml:space="preserve"> New York: </w:t>
      </w:r>
    </w:p>
    <w:p w:rsidR="00185110" w:rsidRDefault="00940A0A" w:rsidP="00E83925">
      <w:pPr>
        <w:spacing w:after="0" w:line="480" w:lineRule="auto"/>
        <w:ind w:firstLine="720"/>
        <w:rPr>
          <w:rFonts w:cs="ITCGaramondStd-LtIta"/>
          <w:iCs/>
          <w:color w:val="000000"/>
        </w:rPr>
      </w:pPr>
      <w:r>
        <w:rPr>
          <w:rFonts w:cs="ITCGaramondStd-LtIta"/>
          <w:iCs/>
          <w:color w:val="000000"/>
        </w:rPr>
        <w:t>Oxford</w:t>
      </w:r>
      <w:r w:rsidR="00856965">
        <w:rPr>
          <w:rFonts w:cs="ITCGaramondStd-LtIta"/>
          <w:iCs/>
          <w:color w:val="000000"/>
        </w:rPr>
        <w:t xml:space="preserve"> University Press.</w:t>
      </w:r>
    </w:p>
    <w:p w:rsidR="005F5384" w:rsidRDefault="00AC1E89" w:rsidP="00E83925">
      <w:pPr>
        <w:spacing w:after="0" w:line="480" w:lineRule="auto"/>
        <w:rPr>
          <w:rStyle w:val="st"/>
        </w:rPr>
      </w:pPr>
      <w:r>
        <w:rPr>
          <w:rFonts w:cs="ITCGaramondStd-LtIta"/>
          <w:iCs/>
          <w:color w:val="000000"/>
        </w:rPr>
        <w:t xml:space="preserve">Boorse, </w:t>
      </w:r>
      <w:r w:rsidR="00940A0A">
        <w:rPr>
          <w:rFonts w:cs="ITCGaramondStd-LtIta"/>
          <w:iCs/>
          <w:color w:val="000000"/>
        </w:rPr>
        <w:t>C</w:t>
      </w:r>
      <w:r>
        <w:rPr>
          <w:rFonts w:cs="ITCGaramondStd-LtIta"/>
          <w:iCs/>
          <w:color w:val="000000"/>
        </w:rPr>
        <w:t>.</w:t>
      </w:r>
      <w:r w:rsidR="00936502" w:rsidRPr="00936502">
        <w:t xml:space="preserve"> </w:t>
      </w:r>
      <w:r w:rsidR="00936502" w:rsidRPr="007C3AE4">
        <w:t xml:space="preserve">1997. </w:t>
      </w:r>
      <w:r w:rsidR="00940A0A">
        <w:t>A</w:t>
      </w:r>
      <w:r w:rsidR="00936502" w:rsidRPr="007C3AE4">
        <w:t xml:space="preserve"> </w:t>
      </w:r>
      <w:r w:rsidR="00936502">
        <w:t>r</w:t>
      </w:r>
      <w:r w:rsidR="00936502" w:rsidRPr="007C3AE4">
        <w:t xml:space="preserve">ebuttal on </w:t>
      </w:r>
      <w:r w:rsidR="00936502">
        <w:t>h</w:t>
      </w:r>
      <w:r w:rsidR="00936502" w:rsidRPr="007C3AE4">
        <w:t xml:space="preserve">ealth. In </w:t>
      </w:r>
      <w:r w:rsidR="00936502" w:rsidRPr="007C3AE4">
        <w:rPr>
          <w:i/>
          <w:iCs/>
        </w:rPr>
        <w:t xml:space="preserve">What is </w:t>
      </w:r>
      <w:r w:rsidR="00936502">
        <w:rPr>
          <w:i/>
          <w:iCs/>
        </w:rPr>
        <w:t>d</w:t>
      </w:r>
      <w:r w:rsidR="00936502" w:rsidRPr="007C3AE4">
        <w:rPr>
          <w:i/>
          <w:iCs/>
        </w:rPr>
        <w:t>isease?</w:t>
      </w:r>
      <w:r w:rsidR="00936502" w:rsidRPr="007C3AE4">
        <w:t xml:space="preserve"> </w:t>
      </w:r>
      <w:r w:rsidR="005F5384">
        <w:t xml:space="preserve">(pp. </w:t>
      </w:r>
      <w:r w:rsidR="005F5384" w:rsidRPr="007C3AE4">
        <w:t>1-134</w:t>
      </w:r>
      <w:r w:rsidR="005F5384">
        <w:t xml:space="preserve">), </w:t>
      </w:r>
      <w:r w:rsidR="00940A0A">
        <w:rPr>
          <w:rStyle w:val="st"/>
        </w:rPr>
        <w:t xml:space="preserve">J. M. Humber and R. F. </w:t>
      </w:r>
    </w:p>
    <w:p w:rsidR="00936502" w:rsidRDefault="00940A0A" w:rsidP="00E83925">
      <w:pPr>
        <w:spacing w:after="0" w:line="480" w:lineRule="auto"/>
        <w:ind w:firstLine="720"/>
      </w:pPr>
      <w:proofErr w:type="spellStart"/>
      <w:r>
        <w:rPr>
          <w:rStyle w:val="st"/>
        </w:rPr>
        <w:t>Almeder</w:t>
      </w:r>
      <w:proofErr w:type="spellEnd"/>
      <w:r>
        <w:rPr>
          <w:rStyle w:val="st"/>
        </w:rPr>
        <w:t xml:space="preserve"> (eds). </w:t>
      </w:r>
      <w:r w:rsidR="00936502" w:rsidRPr="007C3AE4">
        <w:t xml:space="preserve">New York: Humana Press. </w:t>
      </w:r>
    </w:p>
    <w:p w:rsidR="00E3539E" w:rsidRDefault="00936502" w:rsidP="00E83925">
      <w:pPr>
        <w:spacing w:after="0" w:line="480" w:lineRule="auto"/>
        <w:rPr>
          <w:rFonts w:cs="ITCGaramondStd-LtIta"/>
          <w:iCs/>
          <w:color w:val="000000"/>
        </w:rPr>
      </w:pPr>
      <w:proofErr w:type="spellStart"/>
      <w:r w:rsidRPr="00936502">
        <w:rPr>
          <w:rFonts w:cs="ITCGaramondStd-LtIta"/>
          <w:iCs/>
          <w:color w:val="000000"/>
        </w:rPr>
        <w:t>Bosshard</w:t>
      </w:r>
      <w:proofErr w:type="spellEnd"/>
      <w:r>
        <w:rPr>
          <w:rFonts w:cs="ITCGaramondStd-LtIta"/>
          <w:iCs/>
          <w:color w:val="000000"/>
        </w:rPr>
        <w:t>, G.</w:t>
      </w:r>
      <w:r w:rsidRPr="00936502">
        <w:rPr>
          <w:rFonts w:cs="ITCGaramondStd-LtIta"/>
          <w:iCs/>
          <w:color w:val="000000"/>
        </w:rPr>
        <w:t xml:space="preserve"> et al. 2006</w:t>
      </w:r>
      <w:r w:rsidR="005F5384">
        <w:rPr>
          <w:rFonts w:cs="ITCGaramondStd-LtIta"/>
          <w:iCs/>
          <w:color w:val="000000"/>
        </w:rPr>
        <w:t>.</w:t>
      </w:r>
      <w:r>
        <w:rPr>
          <w:rFonts w:cs="ITCGaramondStd-LtIta"/>
          <w:iCs/>
          <w:color w:val="000000"/>
        </w:rPr>
        <w:t xml:space="preserve"> </w:t>
      </w:r>
      <w:r w:rsidRPr="00936502">
        <w:rPr>
          <w:rFonts w:cs="ITCGaramondStd-LtIta"/>
          <w:iCs/>
          <w:color w:val="000000"/>
        </w:rPr>
        <w:t>Intentionally Hastening Death by Withholding or</w:t>
      </w:r>
      <w:r>
        <w:rPr>
          <w:rFonts w:cs="ITCGaramondStd-LtIta"/>
          <w:iCs/>
          <w:color w:val="000000"/>
        </w:rPr>
        <w:t xml:space="preserve"> </w:t>
      </w:r>
      <w:r w:rsidRPr="00936502">
        <w:rPr>
          <w:rFonts w:cs="ITCGaramondStd-LtIta"/>
          <w:iCs/>
          <w:color w:val="000000"/>
        </w:rPr>
        <w:t xml:space="preserve">Withdrawing </w:t>
      </w:r>
    </w:p>
    <w:p w:rsidR="003454BA" w:rsidRDefault="00936502" w:rsidP="00E83925">
      <w:pPr>
        <w:spacing w:after="0" w:line="480" w:lineRule="auto"/>
        <w:ind w:firstLine="720"/>
        <w:rPr>
          <w:rFonts w:cs="ITCGaramondStd-LtIta"/>
          <w:iCs/>
          <w:color w:val="000000"/>
        </w:rPr>
      </w:pPr>
      <w:r w:rsidRPr="00936502">
        <w:rPr>
          <w:rFonts w:cs="ITCGaramondStd-LtIta"/>
          <w:iCs/>
          <w:color w:val="000000"/>
        </w:rPr>
        <w:t xml:space="preserve">Treatment. Wiener </w:t>
      </w:r>
      <w:proofErr w:type="spellStart"/>
      <w:r w:rsidRPr="00936502">
        <w:rPr>
          <w:rFonts w:cs="ITCGaramondStd-LtIta"/>
          <w:iCs/>
          <w:color w:val="000000"/>
        </w:rPr>
        <w:t>Klinische</w:t>
      </w:r>
      <w:proofErr w:type="spellEnd"/>
      <w:r w:rsidRPr="00936502">
        <w:rPr>
          <w:rFonts w:cs="ITCGaramondStd-LtIta"/>
          <w:iCs/>
          <w:color w:val="000000"/>
        </w:rPr>
        <w:t xml:space="preserve"> </w:t>
      </w:r>
      <w:proofErr w:type="spellStart"/>
      <w:r w:rsidRPr="00936502">
        <w:rPr>
          <w:rFonts w:cs="ITCGaramondStd-LtIta"/>
          <w:iCs/>
          <w:color w:val="000000"/>
        </w:rPr>
        <w:t>Wochenschrift</w:t>
      </w:r>
      <w:proofErr w:type="spellEnd"/>
      <w:r w:rsidRPr="00936502">
        <w:rPr>
          <w:rFonts w:cs="ITCGaramondStd-LtIta"/>
          <w:iCs/>
          <w:color w:val="000000"/>
        </w:rPr>
        <w:t>; 118:</w:t>
      </w:r>
      <w:r>
        <w:rPr>
          <w:rFonts w:cs="ITCGaramondStd-LtIta"/>
          <w:iCs/>
          <w:color w:val="000000"/>
        </w:rPr>
        <w:t xml:space="preserve"> </w:t>
      </w:r>
      <w:r w:rsidRPr="00936502">
        <w:rPr>
          <w:rFonts w:cs="ITCGaramondStd-LtIta"/>
          <w:iCs/>
          <w:color w:val="000000"/>
        </w:rPr>
        <w:t>322–326</w:t>
      </w:r>
      <w:r w:rsidR="002E186C">
        <w:rPr>
          <w:rFonts w:cs="ITCGaramondStd-LtIta"/>
          <w:iCs/>
          <w:color w:val="000000"/>
        </w:rPr>
        <w:t>.</w:t>
      </w:r>
    </w:p>
    <w:p w:rsidR="00BA5FC3" w:rsidRDefault="00BA5FC3" w:rsidP="00E83925">
      <w:pPr>
        <w:spacing w:after="0" w:line="480" w:lineRule="auto"/>
      </w:pPr>
      <w:r>
        <w:t xml:space="preserve">Colgrove, N. Forthcoming. Miscarriage is not a cause of death: a response to Berg’s ‘abortion and </w:t>
      </w:r>
    </w:p>
    <w:p w:rsidR="00BA5FC3" w:rsidRDefault="00BA5FC3" w:rsidP="00E83925">
      <w:pPr>
        <w:spacing w:after="0" w:line="480" w:lineRule="auto"/>
        <w:ind w:firstLine="720"/>
      </w:pPr>
      <w:r>
        <w:t>Miscarriage.’ </w:t>
      </w:r>
      <w:r>
        <w:rPr>
          <w:i/>
          <w:iCs/>
        </w:rPr>
        <w:t>Journal of Medicine and Philosophy</w:t>
      </w:r>
      <w:r>
        <w:t>.</w:t>
      </w:r>
    </w:p>
    <w:p w:rsidR="00660C91" w:rsidRDefault="005C3150" w:rsidP="00E83925">
      <w:pPr>
        <w:spacing w:after="0" w:line="480" w:lineRule="auto"/>
      </w:pPr>
      <w:r w:rsidRPr="00B24739">
        <w:rPr>
          <w:rFonts w:cs="ITCGaramondStd-LtIta"/>
          <w:i/>
          <w:iCs/>
          <w:color w:val="000000"/>
        </w:rPr>
        <w:t>Evangelium Vitae</w:t>
      </w:r>
      <w:r w:rsidRPr="00B24739">
        <w:rPr>
          <w:rFonts w:cs="ITCGaramondStd-Lt"/>
          <w:color w:val="000000"/>
        </w:rPr>
        <w:t>:</w:t>
      </w:r>
      <w:r w:rsidRPr="00B24739">
        <w:rPr>
          <w:rFonts w:cs="ITCGaramondStd-Lt"/>
          <w:color w:val="0000FF"/>
        </w:rPr>
        <w:t xml:space="preserve"> </w:t>
      </w:r>
      <w:r w:rsidRPr="005C3150">
        <w:rPr>
          <w:rFonts w:cs="ITCGaramondStd-Lt"/>
        </w:rPr>
        <w:t>John Paul II, 1995</w:t>
      </w:r>
      <w:r w:rsidR="006277FB">
        <w:rPr>
          <w:rFonts w:cs="ITCGaramondStd-Lt"/>
        </w:rPr>
        <w:t>.</w:t>
      </w:r>
    </w:p>
    <w:p w:rsidR="00B32054" w:rsidRDefault="000C78E3" w:rsidP="00B32054">
      <w:pPr>
        <w:autoSpaceDE w:val="0"/>
        <w:autoSpaceDN w:val="0"/>
        <w:adjustRightInd w:val="0"/>
        <w:spacing w:after="0" w:line="480" w:lineRule="auto"/>
      </w:pPr>
      <w:r>
        <w:t>Finer</w:t>
      </w:r>
      <w:r w:rsidR="00EE003D">
        <w:t>,</w:t>
      </w:r>
      <w:r w:rsidRPr="000C78E3">
        <w:t xml:space="preserve"> </w:t>
      </w:r>
      <w:r>
        <w:t>L</w:t>
      </w:r>
      <w:r w:rsidR="00B32054">
        <w:t>.</w:t>
      </w:r>
      <w:r w:rsidR="00C46654">
        <w:t xml:space="preserve"> </w:t>
      </w:r>
      <w:proofErr w:type="spellStart"/>
      <w:r w:rsidR="00C46654">
        <w:t>Frohwirth</w:t>
      </w:r>
      <w:proofErr w:type="spellEnd"/>
      <w:r w:rsidR="00C46654">
        <w:t>,</w:t>
      </w:r>
      <w:r w:rsidR="00B32054" w:rsidRPr="00C46654">
        <w:t xml:space="preserve"> </w:t>
      </w:r>
      <w:r w:rsidR="00B32054">
        <w:t>L</w:t>
      </w:r>
      <w:r w:rsidR="00C46654">
        <w:t xml:space="preserve">. </w:t>
      </w:r>
      <w:proofErr w:type="spellStart"/>
      <w:r w:rsidR="00C46654">
        <w:t>Dauphinee</w:t>
      </w:r>
      <w:proofErr w:type="spellEnd"/>
      <w:r w:rsidR="00B32054">
        <w:t xml:space="preserve">, L. </w:t>
      </w:r>
      <w:r w:rsidR="00C46654">
        <w:t>Singh,</w:t>
      </w:r>
      <w:r w:rsidR="00B32054" w:rsidRPr="00B32054">
        <w:t xml:space="preserve"> </w:t>
      </w:r>
      <w:r w:rsidR="00B32054">
        <w:t xml:space="preserve">S. </w:t>
      </w:r>
      <w:r w:rsidR="00C46654">
        <w:t>Moore,</w:t>
      </w:r>
      <w:r>
        <w:t xml:space="preserve"> </w:t>
      </w:r>
      <w:r w:rsidR="00B32054">
        <w:t xml:space="preserve">A. </w:t>
      </w:r>
      <w:r>
        <w:t xml:space="preserve">2005. </w:t>
      </w:r>
      <w:r w:rsidRPr="000C78E3">
        <w:t xml:space="preserve">“Reasons U.S. Women Have </w:t>
      </w:r>
    </w:p>
    <w:p w:rsidR="000C78E3" w:rsidRDefault="000C78E3" w:rsidP="00B32054">
      <w:pPr>
        <w:autoSpaceDE w:val="0"/>
        <w:autoSpaceDN w:val="0"/>
        <w:adjustRightInd w:val="0"/>
        <w:spacing w:after="0" w:line="480" w:lineRule="auto"/>
        <w:ind w:left="720"/>
      </w:pPr>
      <w:r w:rsidRPr="000C78E3">
        <w:t xml:space="preserve">Abortions: Quantitative and Qualitative Perspectives” </w:t>
      </w:r>
      <w:r w:rsidRPr="000C78E3">
        <w:rPr>
          <w:i/>
        </w:rPr>
        <w:t>Perspectives on Sexual and Reproductive Health</w:t>
      </w:r>
      <w:r>
        <w:rPr>
          <w:i/>
        </w:rPr>
        <w:t>.</w:t>
      </w:r>
      <w:r w:rsidRPr="000C78E3">
        <w:t xml:space="preserve"> 37</w:t>
      </w:r>
      <w:r>
        <w:t>:</w:t>
      </w:r>
      <w:r w:rsidRPr="000C78E3">
        <w:t xml:space="preserve">3 110 </w:t>
      </w:r>
      <w:r>
        <w:t>–</w:t>
      </w:r>
      <w:r w:rsidRPr="000C78E3">
        <w:t xml:space="preserve"> 118</w:t>
      </w:r>
      <w:r>
        <w:t>.</w:t>
      </w:r>
    </w:p>
    <w:p w:rsidR="009868D1" w:rsidRDefault="009868D1" w:rsidP="000C78E3">
      <w:pPr>
        <w:autoSpaceDE w:val="0"/>
        <w:autoSpaceDN w:val="0"/>
        <w:adjustRightInd w:val="0"/>
        <w:spacing w:after="0" w:line="480" w:lineRule="auto"/>
      </w:pPr>
      <w:r>
        <w:t>Fischer, J.M. 2007. Compatibilism</w:t>
      </w:r>
      <w:r w:rsidR="00F26257">
        <w:t>.</w:t>
      </w:r>
      <w:r>
        <w:t xml:space="preserve"> In: </w:t>
      </w:r>
      <w:r w:rsidRPr="009868D1">
        <w:rPr>
          <w:i/>
        </w:rPr>
        <w:t>Four Views o</w:t>
      </w:r>
      <w:r>
        <w:rPr>
          <w:i/>
        </w:rPr>
        <w:t>n</w:t>
      </w:r>
      <w:r w:rsidRPr="009868D1">
        <w:rPr>
          <w:i/>
        </w:rPr>
        <w:t xml:space="preserve"> Free Will</w:t>
      </w:r>
      <w:r>
        <w:t xml:space="preserve"> (pp. 44-84). Malden Ma: Blackwell</w:t>
      </w:r>
    </w:p>
    <w:p w:rsidR="00BA5FC3" w:rsidRDefault="00BA5FC3" w:rsidP="00E83925">
      <w:pPr>
        <w:autoSpaceDE w:val="0"/>
        <w:autoSpaceDN w:val="0"/>
        <w:adjustRightInd w:val="0"/>
        <w:spacing w:after="0" w:line="480" w:lineRule="auto"/>
      </w:pPr>
      <w:r>
        <w:t xml:space="preserve">Friberg-Fernros, H. 2018. Within the limits of the defensible: a response to Simkulet’s argument </w:t>
      </w:r>
    </w:p>
    <w:p w:rsidR="00BA5FC3" w:rsidRPr="005C3150" w:rsidRDefault="00BA5FC3" w:rsidP="00E83925">
      <w:pPr>
        <w:autoSpaceDE w:val="0"/>
        <w:autoSpaceDN w:val="0"/>
        <w:adjustRightInd w:val="0"/>
        <w:spacing w:after="0" w:line="480" w:lineRule="auto"/>
        <w:rPr>
          <w:rFonts w:cs="Garamond-Light"/>
        </w:rPr>
      </w:pPr>
      <w:r>
        <w:t>against the pro-life view on the basis of spontaneous abortion. </w:t>
      </w:r>
      <w:r>
        <w:rPr>
          <w:i/>
          <w:iCs/>
        </w:rPr>
        <w:t>Journal of Medical Ethics </w:t>
      </w:r>
      <w:r>
        <w:t>44:11, 743–5. </w:t>
      </w:r>
    </w:p>
    <w:p w:rsidR="008423E8" w:rsidRDefault="008423E8" w:rsidP="00E83925">
      <w:pPr>
        <w:autoSpaceDE w:val="0"/>
        <w:autoSpaceDN w:val="0"/>
        <w:adjustRightInd w:val="0"/>
        <w:spacing w:after="0" w:line="480" w:lineRule="auto"/>
      </w:pPr>
      <w:r w:rsidRPr="008423E8">
        <w:t xml:space="preserve">Hart, H. L. A. and A. M. </w:t>
      </w:r>
      <w:proofErr w:type="spellStart"/>
      <w:r w:rsidRPr="008423E8">
        <w:t>Honore</w:t>
      </w:r>
      <w:proofErr w:type="spellEnd"/>
      <w:r>
        <w:t xml:space="preserve">. </w:t>
      </w:r>
      <w:r w:rsidRPr="008423E8">
        <w:t xml:space="preserve">1959. </w:t>
      </w:r>
      <w:r w:rsidRPr="008423E8">
        <w:rPr>
          <w:i/>
        </w:rPr>
        <w:t>Cau</w:t>
      </w:r>
      <w:r>
        <w:rPr>
          <w:i/>
        </w:rPr>
        <w:t xml:space="preserve">sation </w:t>
      </w:r>
      <w:r w:rsidRPr="008423E8">
        <w:rPr>
          <w:i/>
        </w:rPr>
        <w:t xml:space="preserve">in the </w:t>
      </w:r>
      <w:r w:rsidR="005F5384">
        <w:rPr>
          <w:i/>
        </w:rPr>
        <w:t>l</w:t>
      </w:r>
      <w:r w:rsidRPr="008423E8">
        <w:rPr>
          <w:i/>
        </w:rPr>
        <w:t>aw</w:t>
      </w:r>
      <w:r w:rsidRPr="008423E8">
        <w:t>.</w:t>
      </w:r>
      <w:r>
        <w:t xml:space="preserve"> </w:t>
      </w:r>
      <w:r w:rsidRPr="008423E8">
        <w:t>Oxford: Clarendon Press.</w:t>
      </w:r>
    </w:p>
    <w:p w:rsidR="00157D79" w:rsidRDefault="00157D79" w:rsidP="00E83925">
      <w:pPr>
        <w:autoSpaceDE w:val="0"/>
        <w:autoSpaceDN w:val="0"/>
        <w:adjustRightInd w:val="0"/>
        <w:spacing w:after="0" w:line="480" w:lineRule="auto"/>
        <w:rPr>
          <w:bCs/>
        </w:rPr>
      </w:pPr>
      <w:r>
        <w:rPr>
          <w:bCs/>
        </w:rPr>
        <w:t xml:space="preserve">Hershenov, D. 2018. </w:t>
      </w:r>
      <w:r w:rsidRPr="00157D79">
        <w:rPr>
          <w:bCs/>
        </w:rPr>
        <w:t xml:space="preserve">If </w:t>
      </w:r>
      <w:r>
        <w:rPr>
          <w:bCs/>
        </w:rPr>
        <w:t>f</w:t>
      </w:r>
      <w:r w:rsidRPr="00157D79">
        <w:rPr>
          <w:bCs/>
        </w:rPr>
        <w:t xml:space="preserve">etuses are </w:t>
      </w:r>
      <w:r>
        <w:rPr>
          <w:bCs/>
        </w:rPr>
        <w:t>pa</w:t>
      </w:r>
      <w:r w:rsidRPr="00157D79">
        <w:rPr>
          <w:bCs/>
        </w:rPr>
        <w:t xml:space="preserve">rts of their </w:t>
      </w:r>
      <w:r>
        <w:rPr>
          <w:bCs/>
        </w:rPr>
        <w:t>m</w:t>
      </w:r>
      <w:r w:rsidRPr="00157D79">
        <w:rPr>
          <w:bCs/>
        </w:rPr>
        <w:t xml:space="preserve">others, </w:t>
      </w:r>
      <w:r>
        <w:rPr>
          <w:bCs/>
        </w:rPr>
        <w:t>t</w:t>
      </w:r>
      <w:r w:rsidRPr="00157D79">
        <w:rPr>
          <w:bCs/>
        </w:rPr>
        <w:t xml:space="preserve">hen </w:t>
      </w:r>
      <w:r>
        <w:rPr>
          <w:bCs/>
        </w:rPr>
        <w:t>t</w:t>
      </w:r>
      <w:r w:rsidRPr="00157D79">
        <w:rPr>
          <w:bCs/>
        </w:rPr>
        <w:t xml:space="preserve">hree </w:t>
      </w:r>
      <w:r>
        <w:rPr>
          <w:bCs/>
        </w:rPr>
        <w:t>p</w:t>
      </w:r>
      <w:r w:rsidRPr="00157D79">
        <w:rPr>
          <w:bCs/>
        </w:rPr>
        <w:t xml:space="preserve">opular </w:t>
      </w:r>
      <w:r>
        <w:rPr>
          <w:bCs/>
        </w:rPr>
        <w:t>a</w:t>
      </w:r>
      <w:r w:rsidRPr="00157D79">
        <w:rPr>
          <w:bCs/>
        </w:rPr>
        <w:t xml:space="preserve">bortion </w:t>
      </w:r>
      <w:r>
        <w:rPr>
          <w:bCs/>
        </w:rPr>
        <w:t>d</w:t>
      </w:r>
      <w:r w:rsidRPr="00157D79">
        <w:rPr>
          <w:bCs/>
        </w:rPr>
        <w:t xml:space="preserve">efenses </w:t>
      </w:r>
      <w:r>
        <w:rPr>
          <w:bCs/>
        </w:rPr>
        <w:t>f</w:t>
      </w:r>
      <w:r w:rsidRPr="00157D79">
        <w:rPr>
          <w:bCs/>
        </w:rPr>
        <w:t xml:space="preserve">ail. </w:t>
      </w:r>
    </w:p>
    <w:p w:rsidR="00157D79" w:rsidRDefault="00157D79" w:rsidP="00E83925">
      <w:pPr>
        <w:autoSpaceDE w:val="0"/>
        <w:autoSpaceDN w:val="0"/>
        <w:adjustRightInd w:val="0"/>
        <w:spacing w:after="0" w:line="480" w:lineRule="auto"/>
        <w:ind w:firstLine="720"/>
        <w:rPr>
          <w:bCs/>
        </w:rPr>
      </w:pPr>
      <w:proofErr w:type="gramStart"/>
      <w:r w:rsidRPr="00157D79">
        <w:rPr>
          <w:bCs/>
        </w:rPr>
        <w:lastRenderedPageBreak/>
        <w:t>.</w:t>
      </w:r>
      <w:r w:rsidRPr="00157D79">
        <w:rPr>
          <w:bCs/>
          <w:i/>
        </w:rPr>
        <w:t>Life</w:t>
      </w:r>
      <w:proofErr w:type="gramEnd"/>
      <w:r w:rsidRPr="00157D79">
        <w:rPr>
          <w:bCs/>
          <w:i/>
        </w:rPr>
        <w:t xml:space="preserve"> and Learning XVIII, Proceedings of the Twenty-Eighth Faculty for Life Conference.</w:t>
      </w:r>
      <w:r w:rsidRPr="00157D79">
        <w:rPr>
          <w:bCs/>
        </w:rPr>
        <w:t xml:space="preserve"> </w:t>
      </w:r>
      <w:r>
        <w:rPr>
          <w:bCs/>
        </w:rPr>
        <w:t>267-282</w:t>
      </w:r>
    </w:p>
    <w:p w:rsidR="00107670" w:rsidRPr="00A00DBC" w:rsidRDefault="00075CEF" w:rsidP="00E83925">
      <w:pPr>
        <w:autoSpaceDE w:val="0"/>
        <w:autoSpaceDN w:val="0"/>
        <w:adjustRightInd w:val="0"/>
        <w:spacing w:after="0" w:line="480" w:lineRule="auto"/>
      </w:pPr>
      <w:proofErr w:type="spellStart"/>
      <w:r>
        <w:t>Kamm</w:t>
      </w:r>
      <w:proofErr w:type="spellEnd"/>
      <w:r>
        <w:t xml:space="preserve">, </w:t>
      </w:r>
      <w:r w:rsidR="00107670">
        <w:t>F</w:t>
      </w:r>
      <w:r w:rsidR="00F26257">
        <w:t>rances</w:t>
      </w:r>
      <w:r w:rsidR="005F5384">
        <w:t xml:space="preserve">. M. </w:t>
      </w:r>
      <w:r w:rsidR="00A00DBC">
        <w:t>1996</w:t>
      </w:r>
      <w:r w:rsidR="005F5384">
        <w:t>.</w:t>
      </w:r>
      <w:r w:rsidR="00A00DBC">
        <w:t xml:space="preserve"> </w:t>
      </w:r>
      <w:r w:rsidR="00107670" w:rsidRPr="00107670">
        <w:rPr>
          <w:i/>
        </w:rPr>
        <w:t>Morality, Mortality</w:t>
      </w:r>
      <w:r w:rsidR="00A00DBC">
        <w:rPr>
          <w:i/>
        </w:rPr>
        <w:t xml:space="preserve"> II</w:t>
      </w:r>
      <w:r w:rsidR="00A00DBC">
        <w:t xml:space="preserve">. </w:t>
      </w:r>
      <w:proofErr w:type="spellStart"/>
      <w:r w:rsidR="00A00DBC">
        <w:t>OxfordUniversity</w:t>
      </w:r>
      <w:proofErr w:type="spellEnd"/>
      <w:r w:rsidR="00A00DBC">
        <w:t xml:space="preserve"> Press.</w:t>
      </w:r>
    </w:p>
    <w:p w:rsidR="00936502" w:rsidRPr="00483171" w:rsidRDefault="00936502" w:rsidP="00E83925">
      <w:pPr>
        <w:spacing w:after="0" w:line="480" w:lineRule="auto"/>
      </w:pPr>
      <w:r w:rsidRPr="00483171">
        <w:t xml:space="preserve">Kingma, E. 2014. Naturalism about </w:t>
      </w:r>
      <w:r>
        <w:t>h</w:t>
      </w:r>
      <w:r w:rsidRPr="00483171">
        <w:t xml:space="preserve">ealth and </w:t>
      </w:r>
      <w:r>
        <w:t>d</w:t>
      </w:r>
      <w:r w:rsidRPr="00483171">
        <w:t xml:space="preserve">isease: Adding </w:t>
      </w:r>
      <w:r>
        <w:t>n</w:t>
      </w:r>
      <w:r w:rsidRPr="00483171">
        <w:t xml:space="preserve">uance for </w:t>
      </w:r>
      <w:r>
        <w:t>p</w:t>
      </w:r>
      <w:r w:rsidRPr="00483171">
        <w:t xml:space="preserve">rogress. </w:t>
      </w:r>
    </w:p>
    <w:p w:rsidR="00936502" w:rsidRDefault="00936502" w:rsidP="00E83925">
      <w:pPr>
        <w:spacing w:after="0" w:line="480" w:lineRule="auto"/>
        <w:ind w:firstLine="720"/>
        <w:rPr>
          <w:color w:val="2A2A2A"/>
          <w:lang w:val="en"/>
        </w:rPr>
      </w:pPr>
      <w:r w:rsidRPr="00483171">
        <w:rPr>
          <w:i/>
        </w:rPr>
        <w:t xml:space="preserve">The Journal of Medicine and Philosophy </w:t>
      </w:r>
      <w:r w:rsidRPr="00483171">
        <w:rPr>
          <w:color w:val="2A2A2A"/>
          <w:lang w:val="en"/>
        </w:rPr>
        <w:t>39: 6, 590–608.</w:t>
      </w:r>
    </w:p>
    <w:p w:rsidR="00D37E45" w:rsidRDefault="00031F57" w:rsidP="00E83925">
      <w:pPr>
        <w:autoSpaceDE w:val="0"/>
        <w:autoSpaceDN w:val="0"/>
        <w:adjustRightInd w:val="0"/>
        <w:spacing w:after="0" w:line="480" w:lineRule="auto"/>
        <w:rPr>
          <w:i/>
        </w:rPr>
      </w:pPr>
      <w:r>
        <w:t>Kingma, E</w:t>
      </w:r>
      <w:r w:rsidR="00936502">
        <w:t xml:space="preserve">. 2018. </w:t>
      </w:r>
      <w:r>
        <w:t xml:space="preserve">Lady </w:t>
      </w:r>
      <w:r w:rsidR="005F5384">
        <w:t>p</w:t>
      </w:r>
      <w:r>
        <w:t xml:space="preserve">arts: The </w:t>
      </w:r>
      <w:r w:rsidR="005F5384">
        <w:t>m</w:t>
      </w:r>
      <w:r>
        <w:t xml:space="preserve">etaphysics of </w:t>
      </w:r>
      <w:r w:rsidR="005F5384">
        <w:t>p</w:t>
      </w:r>
      <w:r>
        <w:t>regnancy</w:t>
      </w:r>
      <w:r w:rsidR="005F5384">
        <w:t>.</w:t>
      </w:r>
      <w:r>
        <w:t xml:space="preserve"> </w:t>
      </w:r>
      <w:r w:rsidRPr="00936502">
        <w:rPr>
          <w:i/>
        </w:rPr>
        <w:t xml:space="preserve">Royal Institute of Philosophy </w:t>
      </w:r>
    </w:p>
    <w:p w:rsidR="00031F57" w:rsidRDefault="00031F57" w:rsidP="00E83925">
      <w:pPr>
        <w:autoSpaceDE w:val="0"/>
        <w:autoSpaceDN w:val="0"/>
        <w:adjustRightInd w:val="0"/>
        <w:spacing w:after="0" w:line="480" w:lineRule="auto"/>
        <w:ind w:firstLine="720"/>
      </w:pPr>
      <w:r w:rsidRPr="00936502">
        <w:rPr>
          <w:i/>
        </w:rPr>
        <w:t>Supplement</w:t>
      </w:r>
      <w:r>
        <w:t xml:space="preserve"> 82</w:t>
      </w:r>
      <w:r w:rsidR="00CB68A6">
        <w:t>,</w:t>
      </w:r>
      <w:r w:rsidR="00D37E45">
        <w:t xml:space="preserve"> </w:t>
      </w:r>
      <w:r>
        <w:t>65–87</w:t>
      </w:r>
      <w:r w:rsidR="00936502">
        <w:t>.</w:t>
      </w:r>
      <w:r>
        <w:t xml:space="preserve"> </w:t>
      </w:r>
    </w:p>
    <w:p w:rsidR="00710152" w:rsidRDefault="00031F57" w:rsidP="00E83925">
      <w:pPr>
        <w:autoSpaceDE w:val="0"/>
        <w:autoSpaceDN w:val="0"/>
        <w:adjustRightInd w:val="0"/>
        <w:spacing w:after="0" w:line="480" w:lineRule="auto"/>
      </w:pPr>
      <w:r>
        <w:t>Kingma, E</w:t>
      </w:r>
      <w:r w:rsidR="005F5384">
        <w:t>.</w:t>
      </w:r>
      <w:r>
        <w:t xml:space="preserve"> </w:t>
      </w:r>
      <w:r w:rsidR="00936502">
        <w:t>2019</w:t>
      </w:r>
      <w:r w:rsidR="005F5384">
        <w:t>.</w:t>
      </w:r>
      <w:r w:rsidR="00936502">
        <w:t xml:space="preserve"> </w:t>
      </w:r>
      <w:r>
        <w:t xml:space="preserve">Were </w:t>
      </w:r>
      <w:r w:rsidR="005F5384">
        <w:t>y</w:t>
      </w:r>
      <w:r>
        <w:t xml:space="preserve">ou a </w:t>
      </w:r>
      <w:r w:rsidR="005F5384">
        <w:t>p</w:t>
      </w:r>
      <w:r>
        <w:t xml:space="preserve">art of </w:t>
      </w:r>
      <w:r w:rsidR="005F5384">
        <w:t>y</w:t>
      </w:r>
      <w:r>
        <w:t xml:space="preserve">our </w:t>
      </w:r>
      <w:r w:rsidR="005F5384">
        <w:t>m</w:t>
      </w:r>
      <w:r>
        <w:t xml:space="preserve">other? </w:t>
      </w:r>
      <w:proofErr w:type="spellStart"/>
      <w:r w:rsidRPr="00CB68A6">
        <w:rPr>
          <w:i/>
        </w:rPr>
        <w:t>Mind</w:t>
      </w:r>
      <w:proofErr w:type="spellEnd"/>
      <w:r>
        <w:t xml:space="preserve"> 128</w:t>
      </w:r>
      <w:r w:rsidR="00CB68A6">
        <w:t>:</w:t>
      </w:r>
      <w:r>
        <w:t xml:space="preserve"> 511</w:t>
      </w:r>
      <w:r w:rsidR="00CB68A6">
        <w:t>,</w:t>
      </w:r>
      <w:r>
        <w:t xml:space="preserve"> 609–</w:t>
      </w:r>
      <w:r w:rsidR="00D13A4F">
        <w:t>6</w:t>
      </w:r>
      <w:r>
        <w:t xml:space="preserve">46, </w:t>
      </w:r>
    </w:p>
    <w:p w:rsidR="00936502" w:rsidRDefault="00936502" w:rsidP="00E83925">
      <w:pPr>
        <w:autoSpaceDE w:val="0"/>
        <w:autoSpaceDN w:val="0"/>
        <w:adjustRightInd w:val="0"/>
        <w:spacing w:after="0" w:line="480" w:lineRule="auto"/>
      </w:pPr>
      <w:r>
        <w:t xml:space="preserve">Kingma, E. 2020. Nine </w:t>
      </w:r>
      <w:r w:rsidR="005F5384">
        <w:t>m</w:t>
      </w:r>
      <w:r>
        <w:t xml:space="preserve">onths. </w:t>
      </w:r>
      <w:r w:rsidRPr="00936502">
        <w:rPr>
          <w:i/>
        </w:rPr>
        <w:t>Journal of Medicine and Philosophy</w:t>
      </w:r>
      <w:r>
        <w:t xml:space="preserve"> 45:3, 371-386. </w:t>
      </w:r>
    </w:p>
    <w:p w:rsidR="000E5F77" w:rsidRDefault="000E5F77" w:rsidP="00E83925">
      <w:pPr>
        <w:autoSpaceDE w:val="0"/>
        <w:autoSpaceDN w:val="0"/>
        <w:adjustRightInd w:val="0"/>
        <w:spacing w:after="0" w:line="480" w:lineRule="auto"/>
      </w:pPr>
      <w:r w:rsidRPr="004950F9">
        <w:rPr>
          <w:i/>
          <w:iCs/>
        </w:rPr>
        <w:t>Lumen Gentium</w:t>
      </w:r>
      <w:r w:rsidRPr="004950F9">
        <w:rPr>
          <w:i/>
        </w:rPr>
        <w:t>.</w:t>
      </w:r>
      <w:r w:rsidRPr="007944F6">
        <w:rPr>
          <w:i/>
        </w:rPr>
        <w:t xml:space="preserve"> </w:t>
      </w:r>
      <w:r>
        <w:t>Second Vatican Ecumenical Council, Dogmatic Constitution on the Church</w:t>
      </w:r>
      <w:r w:rsidR="004950F9">
        <w:t>.</w:t>
      </w:r>
    </w:p>
    <w:p w:rsidR="005C3150" w:rsidRPr="005C3150" w:rsidRDefault="005C3150" w:rsidP="00E83925">
      <w:pPr>
        <w:autoSpaceDE w:val="0"/>
        <w:autoSpaceDN w:val="0"/>
        <w:adjustRightInd w:val="0"/>
        <w:spacing w:after="0" w:line="480" w:lineRule="auto"/>
      </w:pPr>
      <w:r>
        <w:t>McMahan, J</w:t>
      </w:r>
      <w:r w:rsidR="005F5384">
        <w:t>.</w:t>
      </w:r>
      <w:r>
        <w:t xml:space="preserve"> 199</w:t>
      </w:r>
      <w:r w:rsidR="008D4BEF">
        <w:t>3</w:t>
      </w:r>
      <w:r>
        <w:t>.</w:t>
      </w:r>
      <w:r w:rsidR="00513DF7">
        <w:t xml:space="preserve"> </w:t>
      </w:r>
      <w:r>
        <w:t xml:space="preserve">Killing, </w:t>
      </w:r>
      <w:r w:rsidR="005F5384">
        <w:t>l</w:t>
      </w:r>
      <w:r>
        <w:t xml:space="preserve">etting </w:t>
      </w:r>
      <w:r w:rsidR="005F5384">
        <w:t>d</w:t>
      </w:r>
      <w:r>
        <w:t xml:space="preserve">ie, </w:t>
      </w:r>
      <w:r w:rsidR="005F5384">
        <w:t>w</w:t>
      </w:r>
      <w:r>
        <w:t xml:space="preserve">ithdrawing </w:t>
      </w:r>
      <w:r w:rsidR="005F5384">
        <w:t>a</w:t>
      </w:r>
      <w:r>
        <w:t xml:space="preserve">id. </w:t>
      </w:r>
      <w:r w:rsidRPr="005C3150">
        <w:rPr>
          <w:i/>
        </w:rPr>
        <w:t>Ethic</w:t>
      </w:r>
      <w:r w:rsidR="005F5384">
        <w:rPr>
          <w:i/>
        </w:rPr>
        <w:t>s</w:t>
      </w:r>
      <w:r w:rsidR="005F5384" w:rsidRPr="005F5384">
        <w:t xml:space="preserve"> </w:t>
      </w:r>
      <w:r w:rsidR="005F5384">
        <w:t xml:space="preserve">103:2. 250-279. </w:t>
      </w:r>
    </w:p>
    <w:p w:rsidR="00D37E45" w:rsidRDefault="009B69A9" w:rsidP="00E83925">
      <w:pPr>
        <w:autoSpaceDE w:val="0"/>
        <w:autoSpaceDN w:val="0"/>
        <w:adjustRightInd w:val="0"/>
        <w:spacing w:after="0" w:line="480" w:lineRule="auto"/>
      </w:pPr>
      <w:r>
        <w:t>Miller, F</w:t>
      </w:r>
      <w:r w:rsidR="005F5384">
        <w:t>.,</w:t>
      </w:r>
      <w:r>
        <w:t xml:space="preserve"> R</w:t>
      </w:r>
      <w:r w:rsidR="005F5384">
        <w:t>.</w:t>
      </w:r>
      <w:r>
        <w:t xml:space="preserve"> Truog, and D</w:t>
      </w:r>
      <w:r w:rsidR="005F5384">
        <w:t>.</w:t>
      </w:r>
      <w:r>
        <w:t xml:space="preserve"> Brock. 2010</w:t>
      </w:r>
      <w:r w:rsidR="005F5384">
        <w:t>.</w:t>
      </w:r>
      <w:r>
        <w:t xml:space="preserve"> Moral </w:t>
      </w:r>
      <w:r w:rsidR="005F5384">
        <w:t>f</w:t>
      </w:r>
      <w:r>
        <w:t xml:space="preserve">ictions and </w:t>
      </w:r>
      <w:r w:rsidR="005F5384">
        <w:t>m</w:t>
      </w:r>
      <w:r>
        <w:t xml:space="preserve">edical </w:t>
      </w:r>
      <w:r w:rsidR="005F5384">
        <w:t>e</w:t>
      </w:r>
      <w:r>
        <w:t xml:space="preserve">thics. </w:t>
      </w:r>
      <w:r w:rsidRPr="00660C91">
        <w:rPr>
          <w:i/>
        </w:rPr>
        <w:t>Bioethics</w:t>
      </w:r>
      <w:r>
        <w:t xml:space="preserve"> </w:t>
      </w:r>
    </w:p>
    <w:p w:rsidR="00E3539E" w:rsidRDefault="009B69A9" w:rsidP="00E83925">
      <w:pPr>
        <w:autoSpaceDE w:val="0"/>
        <w:autoSpaceDN w:val="0"/>
        <w:adjustRightInd w:val="0"/>
        <w:spacing w:after="0" w:line="480" w:lineRule="auto"/>
        <w:ind w:firstLine="720"/>
      </w:pPr>
      <w:r>
        <w:t>24: 9. 453–460.</w:t>
      </w:r>
    </w:p>
    <w:p w:rsidR="005F5384" w:rsidRDefault="00A14F24" w:rsidP="00E83925">
      <w:pPr>
        <w:autoSpaceDE w:val="0"/>
        <w:autoSpaceDN w:val="0"/>
        <w:adjustRightInd w:val="0"/>
        <w:spacing w:after="0" w:line="480" w:lineRule="auto"/>
        <w:rPr>
          <w:i/>
        </w:rPr>
      </w:pPr>
      <w:r w:rsidRPr="00936502">
        <w:t>Moreno-Ruiz</w:t>
      </w:r>
      <w:r w:rsidR="009B69A9">
        <w:t>.</w:t>
      </w:r>
      <w:r w:rsidRPr="00936502">
        <w:t xml:space="preserve"> </w:t>
      </w:r>
      <w:r w:rsidR="009B69A9" w:rsidRPr="00936502">
        <w:t xml:space="preserve">N.L. </w:t>
      </w:r>
      <w:r w:rsidRPr="00936502">
        <w:t>et al</w:t>
      </w:r>
      <w:r w:rsidR="005F5384">
        <w:t>.</w:t>
      </w:r>
      <w:r w:rsidRPr="00936502">
        <w:t xml:space="preserve"> </w:t>
      </w:r>
      <w:r w:rsidR="005F5384" w:rsidRPr="00936502">
        <w:t>2007</w:t>
      </w:r>
      <w:r w:rsidR="005F5384">
        <w:t>.</w:t>
      </w:r>
      <w:r w:rsidR="005F5384" w:rsidRPr="00936502">
        <w:t xml:space="preserve"> </w:t>
      </w:r>
      <w:r w:rsidRPr="00936502">
        <w:t>Alternatives to mifepristone for early medical abortion</w:t>
      </w:r>
      <w:r w:rsidR="005F5384">
        <w:t>.</w:t>
      </w:r>
      <w:r w:rsidRPr="00936502">
        <w:t xml:space="preserve"> </w:t>
      </w:r>
      <w:r w:rsidRPr="00936502">
        <w:rPr>
          <w:i/>
        </w:rPr>
        <w:t xml:space="preserve">International </w:t>
      </w:r>
    </w:p>
    <w:p w:rsidR="00E3539E" w:rsidRDefault="00A14F24" w:rsidP="00E83925">
      <w:pPr>
        <w:autoSpaceDE w:val="0"/>
        <w:autoSpaceDN w:val="0"/>
        <w:adjustRightInd w:val="0"/>
        <w:spacing w:after="0" w:line="480" w:lineRule="auto"/>
        <w:ind w:firstLine="720"/>
      </w:pPr>
      <w:r w:rsidRPr="00936502">
        <w:rPr>
          <w:i/>
        </w:rPr>
        <w:t>Journal of Gynecology and Obstetrics</w:t>
      </w:r>
      <w:r w:rsidRPr="00936502">
        <w:t xml:space="preserve"> 96, 212–218</w:t>
      </w:r>
      <w:r w:rsidR="00E3539E">
        <w:t>.</w:t>
      </w:r>
    </w:p>
    <w:p w:rsidR="00B835DD" w:rsidRPr="00B835DD" w:rsidRDefault="00B835DD" w:rsidP="00E83925">
      <w:pPr>
        <w:autoSpaceDE w:val="0"/>
        <w:autoSpaceDN w:val="0"/>
        <w:adjustRightInd w:val="0"/>
        <w:spacing w:after="0" w:line="480" w:lineRule="auto"/>
      </w:pPr>
      <w:r w:rsidRPr="00B835DD">
        <w:t>Schaffer, Jonathan</w:t>
      </w:r>
      <w:r w:rsidR="00B57AD5">
        <w:t xml:space="preserve">. </w:t>
      </w:r>
      <w:r w:rsidR="00936502">
        <w:t xml:space="preserve">2000. </w:t>
      </w:r>
      <w:r w:rsidR="00936502" w:rsidRPr="00936502">
        <w:t xml:space="preserve">Causation by </w:t>
      </w:r>
      <w:r w:rsidR="00772483">
        <w:t>d</w:t>
      </w:r>
      <w:r w:rsidR="00936502" w:rsidRPr="00936502">
        <w:t>isconnection</w:t>
      </w:r>
      <w:r w:rsidR="00772483">
        <w:t>.</w:t>
      </w:r>
      <w:r w:rsidR="00936502">
        <w:t xml:space="preserve"> </w:t>
      </w:r>
      <w:r w:rsidR="00936502" w:rsidRPr="00936502">
        <w:rPr>
          <w:i/>
        </w:rPr>
        <w:t>Philosophy of Science</w:t>
      </w:r>
      <w:r w:rsidR="00936502" w:rsidRPr="00936502">
        <w:t xml:space="preserve"> 67</w:t>
      </w:r>
      <w:r w:rsidR="00936502">
        <w:t>:</w:t>
      </w:r>
      <w:r w:rsidR="00936502" w:rsidRPr="00936502">
        <w:t xml:space="preserve"> 2</w:t>
      </w:r>
      <w:r w:rsidR="00936502">
        <w:t xml:space="preserve">, </w:t>
      </w:r>
      <w:r w:rsidR="00936502" w:rsidRPr="00936502">
        <w:t>285-300</w:t>
      </w:r>
    </w:p>
    <w:p w:rsidR="00977F8C" w:rsidRDefault="00936502" w:rsidP="00E83925">
      <w:pPr>
        <w:autoSpaceDE w:val="0"/>
        <w:autoSpaceDN w:val="0"/>
        <w:adjustRightInd w:val="0"/>
        <w:spacing w:after="0" w:line="480" w:lineRule="auto"/>
      </w:pPr>
      <w:proofErr w:type="spellStart"/>
      <w:r w:rsidRPr="0078164E">
        <w:t>Teutsch</w:t>
      </w:r>
      <w:proofErr w:type="spellEnd"/>
      <w:r>
        <w:t>,</w:t>
      </w:r>
      <w:r w:rsidRPr="0078164E">
        <w:t xml:space="preserve"> G</w:t>
      </w:r>
      <w:r w:rsidR="00772483">
        <w:t>.,</w:t>
      </w:r>
      <w:r w:rsidRPr="0078164E">
        <w:t xml:space="preserve"> </w:t>
      </w:r>
      <w:r>
        <w:t>A</w:t>
      </w:r>
      <w:r w:rsidR="00772483">
        <w:t>.</w:t>
      </w:r>
      <w:r>
        <w:t xml:space="preserve"> </w:t>
      </w:r>
      <w:proofErr w:type="spellStart"/>
      <w:r w:rsidR="0078164E" w:rsidRPr="0078164E">
        <w:t>Ulmann</w:t>
      </w:r>
      <w:proofErr w:type="spellEnd"/>
      <w:r w:rsidR="0078164E" w:rsidRPr="0078164E">
        <w:t>, and D</w:t>
      </w:r>
      <w:r w:rsidR="00772483">
        <w:t>.</w:t>
      </w:r>
      <w:r w:rsidR="0078164E" w:rsidRPr="0078164E">
        <w:t xml:space="preserve"> Philibert</w:t>
      </w:r>
      <w:r>
        <w:t>.</w:t>
      </w:r>
      <w:r w:rsidR="0078164E" w:rsidRPr="00977F8C">
        <w:rPr>
          <w:b/>
        </w:rPr>
        <w:t xml:space="preserve"> </w:t>
      </w:r>
      <w:r w:rsidR="0078164E" w:rsidRPr="0078164E">
        <w:t>1990</w:t>
      </w:r>
      <w:r>
        <w:t>.</w:t>
      </w:r>
      <w:r w:rsidR="0078164E" w:rsidRPr="0078164E">
        <w:t xml:space="preserve"> RU 486</w:t>
      </w:r>
      <w:r w:rsidR="00772483">
        <w:t>.</w:t>
      </w:r>
      <w:r w:rsidR="0078164E">
        <w:t xml:space="preserve"> </w:t>
      </w:r>
      <w:r w:rsidR="00977F8C" w:rsidRPr="0078164E">
        <w:rPr>
          <w:i/>
        </w:rPr>
        <w:t>S</w:t>
      </w:r>
      <w:r w:rsidR="0078164E" w:rsidRPr="0078164E">
        <w:rPr>
          <w:i/>
        </w:rPr>
        <w:t>cientific American</w:t>
      </w:r>
      <w:r w:rsidR="00977F8C" w:rsidRPr="0078164E">
        <w:t xml:space="preserve"> 262</w:t>
      </w:r>
      <w:r w:rsidR="0078164E">
        <w:t>:</w:t>
      </w:r>
      <w:r w:rsidR="00977F8C" w:rsidRPr="0078164E">
        <w:t xml:space="preserve"> 6</w:t>
      </w:r>
    </w:p>
    <w:p w:rsidR="00166B94" w:rsidRPr="0078164E" w:rsidRDefault="00166B94" w:rsidP="00E83925">
      <w:pPr>
        <w:autoSpaceDE w:val="0"/>
        <w:autoSpaceDN w:val="0"/>
        <w:adjustRightInd w:val="0"/>
        <w:spacing w:after="0" w:line="480" w:lineRule="auto"/>
      </w:pPr>
      <w:r>
        <w:t xml:space="preserve">Thomson, J. 1971. A </w:t>
      </w:r>
      <w:r w:rsidR="007C104B">
        <w:t>d</w:t>
      </w:r>
      <w:r>
        <w:t xml:space="preserve">efense of </w:t>
      </w:r>
      <w:r w:rsidR="007C104B">
        <w:t>a</w:t>
      </w:r>
      <w:r>
        <w:t xml:space="preserve">bortion. </w:t>
      </w:r>
      <w:r w:rsidRPr="00166B94">
        <w:rPr>
          <w:i/>
        </w:rPr>
        <w:t>Philosophy and Public Affairs</w:t>
      </w:r>
      <w:r>
        <w:rPr>
          <w:i/>
        </w:rPr>
        <w:t xml:space="preserve"> </w:t>
      </w:r>
      <w:r w:rsidRPr="00166B94">
        <w:t>1:1</w:t>
      </w:r>
      <w:r>
        <w:t>. 47-66.</w:t>
      </w:r>
    </w:p>
    <w:p w:rsidR="00E3539E" w:rsidRDefault="00071263" w:rsidP="00E83925">
      <w:pPr>
        <w:autoSpaceDE w:val="0"/>
        <w:autoSpaceDN w:val="0"/>
        <w:adjustRightInd w:val="0"/>
        <w:spacing w:after="0" w:line="480" w:lineRule="auto"/>
        <w:rPr>
          <w:rFonts w:cs="Garamond-Bold"/>
          <w:bCs/>
        </w:rPr>
      </w:pPr>
      <w:r>
        <w:rPr>
          <w:rFonts w:cs="Garamond-Bold"/>
          <w:bCs/>
        </w:rPr>
        <w:t>Yancy, H.</w:t>
      </w:r>
      <w:r w:rsidRPr="00071263">
        <w:rPr>
          <w:rFonts w:ascii="Times New Roman" w:hAnsi="Times New Roman" w:cs="Times New Roman"/>
        </w:rPr>
        <w:t xml:space="preserve"> </w:t>
      </w:r>
      <w:r w:rsidR="00E3539E">
        <w:rPr>
          <w:rFonts w:cs="Garamond-Bold"/>
          <w:bCs/>
        </w:rPr>
        <w:t>Forthcoming.</w:t>
      </w:r>
      <w:r w:rsidR="00E3539E">
        <w:rPr>
          <w:rFonts w:ascii="Times New Roman" w:hAnsi="Times New Roman" w:cs="Times New Roman"/>
        </w:rPr>
        <w:t xml:space="preserve"> </w:t>
      </w:r>
      <w:r w:rsidRPr="00071263">
        <w:rPr>
          <w:rFonts w:cs="Garamond-Bold"/>
          <w:bCs/>
        </w:rPr>
        <w:t xml:space="preserve">Was </w:t>
      </w:r>
      <w:r w:rsidR="007C104B">
        <w:rPr>
          <w:rFonts w:cs="Garamond-Bold"/>
          <w:bCs/>
        </w:rPr>
        <w:t>y</w:t>
      </w:r>
      <w:r w:rsidRPr="00071263">
        <w:rPr>
          <w:rFonts w:cs="Garamond-Bold"/>
          <w:bCs/>
        </w:rPr>
        <w:t xml:space="preserve">our </w:t>
      </w:r>
      <w:r w:rsidR="007C104B">
        <w:rPr>
          <w:rFonts w:cs="Garamond-Bold"/>
          <w:bCs/>
        </w:rPr>
        <w:t>m</w:t>
      </w:r>
      <w:r w:rsidRPr="00071263">
        <w:rPr>
          <w:rFonts w:cs="Garamond-Bold"/>
          <w:bCs/>
        </w:rPr>
        <w:t xml:space="preserve">other </w:t>
      </w:r>
      <w:r w:rsidR="007C104B">
        <w:rPr>
          <w:rFonts w:cs="Garamond-Bold"/>
          <w:bCs/>
        </w:rPr>
        <w:t>p</w:t>
      </w:r>
      <w:r w:rsidRPr="00071263">
        <w:rPr>
          <w:rFonts w:cs="Garamond-Bold"/>
          <w:bCs/>
        </w:rPr>
        <w:t xml:space="preserve">art of </w:t>
      </w:r>
      <w:r w:rsidR="007C104B">
        <w:rPr>
          <w:rFonts w:cs="Garamond-Bold"/>
          <w:bCs/>
        </w:rPr>
        <w:t>y</w:t>
      </w:r>
      <w:r w:rsidRPr="00071263">
        <w:rPr>
          <w:rFonts w:cs="Garamond-Bold"/>
          <w:bCs/>
        </w:rPr>
        <w:t xml:space="preserve">ou? A </w:t>
      </w:r>
      <w:proofErr w:type="spellStart"/>
      <w:r w:rsidR="007C104B">
        <w:rPr>
          <w:rFonts w:cs="Garamond-Bold"/>
          <w:bCs/>
        </w:rPr>
        <w:t>h</w:t>
      </w:r>
      <w:r w:rsidRPr="00071263">
        <w:rPr>
          <w:rFonts w:cs="Garamond-Bold"/>
          <w:bCs/>
        </w:rPr>
        <w:t>ylomorphist’s</w:t>
      </w:r>
      <w:proofErr w:type="spellEnd"/>
      <w:r w:rsidRPr="00071263">
        <w:rPr>
          <w:rFonts w:cs="Garamond-Bold"/>
          <w:bCs/>
        </w:rPr>
        <w:t xml:space="preserve"> </w:t>
      </w:r>
      <w:r w:rsidR="007C104B">
        <w:rPr>
          <w:rFonts w:cs="Garamond-Bold"/>
          <w:bCs/>
        </w:rPr>
        <w:t>c</w:t>
      </w:r>
      <w:r w:rsidRPr="00071263">
        <w:rPr>
          <w:rFonts w:cs="Garamond-Bold"/>
          <w:bCs/>
        </w:rPr>
        <w:t xml:space="preserve">hallenge for </w:t>
      </w:r>
    </w:p>
    <w:p w:rsidR="00977DBD" w:rsidRPr="00977DBD" w:rsidRDefault="00071263" w:rsidP="00E83925">
      <w:pPr>
        <w:autoSpaceDE w:val="0"/>
        <w:autoSpaceDN w:val="0"/>
        <w:adjustRightInd w:val="0"/>
        <w:spacing w:after="0" w:line="480" w:lineRule="auto"/>
        <w:ind w:firstLine="720"/>
      </w:pPr>
      <w:r w:rsidRPr="00071263">
        <w:rPr>
          <w:rFonts w:cs="Garamond-Bold"/>
          <w:bCs/>
        </w:rPr>
        <w:t>Elselijn Kingma</w:t>
      </w:r>
      <w:r w:rsidR="007C104B">
        <w:rPr>
          <w:rFonts w:cs="Garamond-Bold"/>
          <w:bCs/>
        </w:rPr>
        <w:t>.</w:t>
      </w:r>
      <w:r>
        <w:rPr>
          <w:rFonts w:cs="Garamond-Bold"/>
          <w:bCs/>
        </w:rPr>
        <w:t xml:space="preserve"> </w:t>
      </w:r>
      <w:r w:rsidRPr="00071263">
        <w:rPr>
          <w:rFonts w:cs="Garamond-Bold"/>
          <w:bCs/>
          <w:i/>
        </w:rPr>
        <w:t>Quaestiones Disputatae</w:t>
      </w:r>
      <w:r w:rsidR="009B69A9">
        <w:rPr>
          <w:rFonts w:cs="Garamond-Bold"/>
          <w:bCs/>
        </w:rPr>
        <w:t xml:space="preserve">. </w:t>
      </w:r>
      <w:bookmarkEnd w:id="0"/>
    </w:p>
    <w:sectPr w:rsidR="00977DBD" w:rsidRPr="00977DBD" w:rsidSect="00D37E4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BB3" w:rsidRDefault="00AD3BB3" w:rsidP="00710152">
      <w:pPr>
        <w:spacing w:after="0" w:line="240" w:lineRule="auto"/>
      </w:pPr>
      <w:r>
        <w:separator/>
      </w:r>
    </w:p>
  </w:endnote>
  <w:endnote w:type="continuationSeparator" w:id="0">
    <w:p w:rsidR="00AD3BB3" w:rsidRDefault="00AD3BB3" w:rsidP="0071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GaramondStd-Lt">
    <w:altName w:val="Cambria"/>
    <w:panose1 w:val="00000000000000000000"/>
    <w:charset w:val="00"/>
    <w:family w:val="roman"/>
    <w:notTrueType/>
    <w:pitch w:val="default"/>
    <w:sig w:usb0="00000003" w:usb1="00000000" w:usb2="00000000" w:usb3="00000000" w:csb0="00000001" w:csb1="00000000"/>
  </w:font>
  <w:font w:name="AdvTmath1">
    <w:altName w:val="Calibri"/>
    <w:panose1 w:val="00000000000000000000"/>
    <w:charset w:val="00"/>
    <w:family w:val="auto"/>
    <w:notTrueType/>
    <w:pitch w:val="default"/>
    <w:sig w:usb0="00000003" w:usb1="00000000" w:usb2="00000000" w:usb3="00000000" w:csb0="00000001" w:csb1="00000000"/>
  </w:font>
  <w:font w:name="AdvTmath2">
    <w:altName w:val="Calibri"/>
    <w:panose1 w:val="00000000000000000000"/>
    <w:charset w:val="00"/>
    <w:family w:val="auto"/>
    <w:notTrueType/>
    <w:pitch w:val="default"/>
    <w:sig w:usb0="00000003" w:usb1="00000000" w:usb2="00000000" w:usb3="00000000" w:csb0="00000001" w:csb1="00000000"/>
  </w:font>
  <w:font w:name="Lato-Bold">
    <w:altName w:val="Segoe UI"/>
    <w:panose1 w:val="00000000000000000000"/>
    <w:charset w:val="00"/>
    <w:family w:val="auto"/>
    <w:notTrueType/>
    <w:pitch w:val="default"/>
    <w:sig w:usb0="00000003" w:usb1="00000000" w:usb2="00000000" w:usb3="00000000" w:csb0="00000001" w:csb1="00000000"/>
  </w:font>
  <w:font w:name="ITCGaramondStd-LtIta">
    <w:altName w:val="Cambria"/>
    <w:panose1 w:val="00000000000000000000"/>
    <w:charset w:val="00"/>
    <w:family w:val="roman"/>
    <w:notTrueType/>
    <w:pitch w:val="default"/>
    <w:sig w:usb0="00000003" w:usb1="00000000" w:usb2="00000000" w:usb3="00000000" w:csb0="00000001" w:csb1="00000000"/>
  </w:font>
  <w:font w:name="Garamond-Light">
    <w:altName w:val="Garamond"/>
    <w:panose1 w:val="00000000000000000000"/>
    <w:charset w:val="00"/>
    <w:family w:val="roman"/>
    <w:notTrueType/>
    <w:pitch w:val="default"/>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240961"/>
      <w:docPartObj>
        <w:docPartGallery w:val="Page Numbers (Bottom of Page)"/>
        <w:docPartUnique/>
      </w:docPartObj>
    </w:sdtPr>
    <w:sdtEndPr>
      <w:rPr>
        <w:noProof/>
      </w:rPr>
    </w:sdtEndPr>
    <w:sdtContent>
      <w:p w:rsidR="002827CC" w:rsidRDefault="002827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827CC" w:rsidRDefault="00282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BB3" w:rsidRDefault="00AD3BB3" w:rsidP="00710152">
      <w:pPr>
        <w:spacing w:after="0" w:line="240" w:lineRule="auto"/>
      </w:pPr>
      <w:r>
        <w:separator/>
      </w:r>
    </w:p>
  </w:footnote>
  <w:footnote w:type="continuationSeparator" w:id="0">
    <w:p w:rsidR="00AD3BB3" w:rsidRDefault="00AD3BB3" w:rsidP="00710152">
      <w:pPr>
        <w:spacing w:after="0" w:line="240" w:lineRule="auto"/>
      </w:pPr>
      <w:r>
        <w:continuationSeparator/>
      </w:r>
    </w:p>
  </w:footnote>
  <w:footnote w:id="1">
    <w:p w:rsidR="002827CC" w:rsidRDefault="002827CC" w:rsidP="00E83925">
      <w:pPr>
        <w:pStyle w:val="FootnoteText"/>
        <w:spacing w:line="480" w:lineRule="auto"/>
      </w:pPr>
      <w:r>
        <w:rPr>
          <w:rStyle w:val="FootnoteReference"/>
        </w:rPr>
        <w:footnoteRef/>
      </w:r>
      <w:r>
        <w:t xml:space="preserve"> </w:t>
      </w:r>
      <w:r>
        <w:rPr>
          <w:rFonts w:cs="ITCGaramondStd-Lt"/>
          <w:color w:val="000000"/>
        </w:rPr>
        <w:t>Few women would be pleased and consider the abortion successful if the extracted fetus survived, which suggests their intention is death, not just departure from their body. They don’t want to be mothers, not (just) free of an immense bodily imposition</w:t>
      </w:r>
      <w:r w:rsidRPr="00EE003D">
        <w:rPr>
          <w:rFonts w:cs="ITCGaramondStd-Lt"/>
          <w:color w:val="000000"/>
        </w:rPr>
        <w:t>.</w:t>
      </w:r>
      <w:r w:rsidR="00EE003D" w:rsidRPr="00EE003D">
        <w:rPr>
          <w:b/>
        </w:rPr>
        <w:t xml:space="preserve"> </w:t>
      </w:r>
      <w:r w:rsidR="00EE003D" w:rsidRPr="005C68BF">
        <w:t>Research has shown that</w:t>
      </w:r>
      <w:r w:rsidR="00EE003D" w:rsidRPr="005C68BF">
        <w:rPr>
          <w:rFonts w:cs="ITCGaramondStd-Lt"/>
          <w:color w:val="000000"/>
        </w:rPr>
        <w:t xml:space="preserve"> the most common reasons for choosing an abortion have to do with motherhood interfering with finances, career, education, and support of children already born that could all be (mostly) avoided by adoption (</w:t>
      </w:r>
      <w:r w:rsidR="00C46654" w:rsidRPr="005C68BF">
        <w:rPr>
          <w:rFonts w:cs="ITCGaramondStd-Lt"/>
          <w:color w:val="000000"/>
        </w:rPr>
        <w:t xml:space="preserve">Finer et al, 2005). </w:t>
      </w:r>
      <w:r w:rsidR="00EE003D" w:rsidRPr="005C68BF">
        <w:rPr>
          <w:rFonts w:cs="ITCGaramondStd-Lt"/>
          <w:color w:val="000000"/>
        </w:rPr>
        <w:t>So, it is not the burdens or health threats of the pregnancy that motivates the choice of abortion.</w:t>
      </w:r>
    </w:p>
  </w:footnote>
  <w:footnote w:id="2">
    <w:p w:rsidR="002827CC" w:rsidRPr="00C319FE" w:rsidRDefault="002827CC" w:rsidP="00E83925">
      <w:pPr>
        <w:autoSpaceDE w:val="0"/>
        <w:autoSpaceDN w:val="0"/>
        <w:adjustRightInd w:val="0"/>
        <w:spacing w:after="0" w:line="480" w:lineRule="auto"/>
        <w:rPr>
          <w:sz w:val="20"/>
          <w:szCs w:val="20"/>
        </w:rPr>
      </w:pPr>
      <w:r>
        <w:rPr>
          <w:rStyle w:val="FootnoteReference"/>
        </w:rPr>
        <w:footnoteRef/>
      </w:r>
      <w:r>
        <w:t xml:space="preserve"> </w:t>
      </w:r>
      <w:r w:rsidRPr="00C319FE">
        <w:rPr>
          <w:rFonts w:cs="ITCGaramondStd-Lt"/>
          <w:color w:val="000000"/>
          <w:sz w:val="20"/>
          <w:szCs w:val="20"/>
        </w:rPr>
        <w:t>“</w:t>
      </w:r>
      <w:r>
        <w:rPr>
          <w:rFonts w:cs="ITCGaramondStd-Lt"/>
          <w:color w:val="000000"/>
          <w:sz w:val="20"/>
          <w:szCs w:val="20"/>
        </w:rPr>
        <w:t>…</w:t>
      </w:r>
      <w:r w:rsidRPr="00C319FE">
        <w:rPr>
          <w:sz w:val="20"/>
          <w:szCs w:val="20"/>
        </w:rPr>
        <w:t xml:space="preserve">life, especially human life, belongs only to God: for this </w:t>
      </w:r>
      <w:proofErr w:type="gramStart"/>
      <w:r w:rsidRPr="00C319FE">
        <w:rPr>
          <w:sz w:val="20"/>
          <w:szCs w:val="20"/>
        </w:rPr>
        <w:t>reason</w:t>
      </w:r>
      <w:proofErr w:type="gramEnd"/>
      <w:r w:rsidRPr="00C319FE">
        <w:rPr>
          <w:sz w:val="20"/>
          <w:szCs w:val="20"/>
        </w:rPr>
        <w:t xml:space="preserve"> whoever attacks human life, in some way attacks God himself. (</w:t>
      </w:r>
      <w:r w:rsidRPr="00C319FE">
        <w:rPr>
          <w:i/>
          <w:sz w:val="20"/>
          <w:szCs w:val="20"/>
        </w:rPr>
        <w:t>Evangelium Vitae</w:t>
      </w:r>
      <w:r w:rsidRPr="00C319FE">
        <w:rPr>
          <w:sz w:val="20"/>
          <w:szCs w:val="20"/>
        </w:rPr>
        <w:t xml:space="preserve"> sec. 9)</w:t>
      </w:r>
    </w:p>
  </w:footnote>
  <w:footnote w:id="3">
    <w:p w:rsidR="002827CC" w:rsidRDefault="002827CC" w:rsidP="00E83925">
      <w:pPr>
        <w:pStyle w:val="FootnoteText"/>
        <w:spacing w:line="480" w:lineRule="auto"/>
      </w:pPr>
      <w:r>
        <w:rPr>
          <w:rStyle w:val="FootnoteReference"/>
        </w:rPr>
        <w:footnoteRef/>
      </w:r>
      <w:r>
        <w:t xml:space="preserve"> Not having a special obligation is compatible with a duty to treat everyone as a neighbor.</w:t>
      </w:r>
    </w:p>
  </w:footnote>
  <w:footnote w:id="4">
    <w:p w:rsidR="002827CC" w:rsidRPr="00C379A2" w:rsidRDefault="002827CC" w:rsidP="00E83925">
      <w:pPr>
        <w:autoSpaceDE w:val="0"/>
        <w:autoSpaceDN w:val="0"/>
        <w:adjustRightInd w:val="0"/>
        <w:spacing w:after="0" w:line="480" w:lineRule="auto"/>
        <w:rPr>
          <w:rFonts w:cs="ITCGaramondStd-Lt"/>
          <w:color w:val="000000"/>
          <w:sz w:val="20"/>
          <w:szCs w:val="20"/>
        </w:rPr>
      </w:pPr>
      <w:r>
        <w:rPr>
          <w:rStyle w:val="FootnoteReference"/>
        </w:rPr>
        <w:footnoteRef/>
      </w:r>
      <w:r>
        <w:t xml:space="preserve"> </w:t>
      </w:r>
      <w:r w:rsidRPr="00C379A2">
        <w:rPr>
          <w:sz w:val="20"/>
          <w:szCs w:val="20"/>
        </w:rPr>
        <w:t xml:space="preserve">Hart and </w:t>
      </w:r>
      <w:proofErr w:type="spellStart"/>
      <w:r w:rsidRPr="00C379A2">
        <w:rPr>
          <w:sz w:val="20"/>
          <w:szCs w:val="20"/>
        </w:rPr>
        <w:t>Honore</w:t>
      </w:r>
      <w:proofErr w:type="spellEnd"/>
      <w:r w:rsidRPr="00C379A2">
        <w:rPr>
          <w:sz w:val="20"/>
          <w:szCs w:val="20"/>
        </w:rPr>
        <w:t xml:space="preserve"> provide many examples where the law says not doing something is the cause of the killing. Black’s Law </w:t>
      </w:r>
      <w:r>
        <w:rPr>
          <w:sz w:val="20"/>
          <w:szCs w:val="20"/>
        </w:rPr>
        <w:t>D</w:t>
      </w:r>
      <w:r w:rsidRPr="00C379A2">
        <w:rPr>
          <w:sz w:val="20"/>
          <w:szCs w:val="20"/>
        </w:rPr>
        <w:t>ictionary defines 'homicide' as "the killing of one human being by the procurement, or omission, of another"</w:t>
      </w:r>
      <w:bookmarkStart w:id="5" w:name="_Hlk42590353"/>
      <w:r w:rsidRPr="00C379A2">
        <w:rPr>
          <w:sz w:val="20"/>
          <w:szCs w:val="20"/>
        </w:rPr>
        <w:t xml:space="preserve"> 1968, 867</w:t>
      </w:r>
      <w:r>
        <w:rPr>
          <w:sz w:val="20"/>
          <w:szCs w:val="20"/>
        </w:rPr>
        <w:t xml:space="preserve">). </w:t>
      </w:r>
      <w:bookmarkStart w:id="6" w:name="_Hlk41562915"/>
      <w:bookmarkEnd w:id="5"/>
      <w:r w:rsidRPr="00C379A2">
        <w:rPr>
          <w:rFonts w:cs="ITCGaramondStd-Lt"/>
          <w:color w:val="000000"/>
          <w:sz w:val="20"/>
          <w:szCs w:val="20"/>
        </w:rPr>
        <w:t>J.F</w:t>
      </w:r>
      <w:r w:rsidR="00543584">
        <w:rPr>
          <w:rFonts w:cs="ITCGaramondStd-Lt"/>
          <w:color w:val="000000"/>
          <w:sz w:val="20"/>
          <w:szCs w:val="20"/>
        </w:rPr>
        <w:t>.</w:t>
      </w:r>
      <w:r w:rsidRPr="00C379A2">
        <w:rPr>
          <w:rFonts w:cs="ITCGaramondStd-Lt"/>
          <w:b/>
          <w:color w:val="000000"/>
          <w:sz w:val="20"/>
          <w:szCs w:val="20"/>
        </w:rPr>
        <w:t xml:space="preserve"> </w:t>
      </w:r>
      <w:r w:rsidRPr="00C379A2">
        <w:rPr>
          <w:rFonts w:cs="ITCGaramondStd-Lt"/>
          <w:color w:val="000000"/>
          <w:sz w:val="20"/>
          <w:szCs w:val="20"/>
        </w:rPr>
        <w:t>Stephens, the leading Victorian criminal jurist,</w:t>
      </w:r>
      <w:r>
        <w:rPr>
          <w:rFonts w:cs="ITCGaramondStd-Lt"/>
          <w:color w:val="000000"/>
          <w:sz w:val="20"/>
          <w:szCs w:val="20"/>
        </w:rPr>
        <w:t xml:space="preserve"> claims that</w:t>
      </w:r>
      <w:r w:rsidRPr="00C379A2">
        <w:rPr>
          <w:rFonts w:cs="ITCGaramondStd-Lt"/>
          <w:color w:val="000000"/>
          <w:sz w:val="20"/>
          <w:szCs w:val="20"/>
        </w:rPr>
        <w:t xml:space="preserve"> “killing meant causing death directly, distinctly, and not too remotely,’ whether by act or omission” (</w:t>
      </w:r>
      <w:r>
        <w:rPr>
          <w:rFonts w:cs="ITCGaramondStd-Lt"/>
          <w:color w:val="000000"/>
          <w:sz w:val="20"/>
          <w:szCs w:val="20"/>
        </w:rPr>
        <w:t xml:space="preserve">Binder, </w:t>
      </w:r>
      <w:r w:rsidRPr="00C379A2">
        <w:rPr>
          <w:rFonts w:cs="ITCGaramondStd-Lt"/>
          <w:color w:val="000000"/>
          <w:sz w:val="20"/>
          <w:szCs w:val="20"/>
        </w:rPr>
        <w:t>88)</w:t>
      </w:r>
      <w:bookmarkEnd w:id="6"/>
      <w:r w:rsidR="00F04874">
        <w:rPr>
          <w:rFonts w:cs="ITCGaramondStd-Lt"/>
          <w:color w:val="000000"/>
          <w:sz w:val="20"/>
          <w:szCs w:val="20"/>
        </w:rPr>
        <w:t>.</w:t>
      </w:r>
    </w:p>
    <w:p w:rsidR="002827CC" w:rsidRDefault="002827CC" w:rsidP="00E83925">
      <w:pPr>
        <w:pStyle w:val="FootnoteText"/>
        <w:spacing w:line="480" w:lineRule="auto"/>
      </w:pPr>
    </w:p>
  </w:footnote>
  <w:footnote w:id="5">
    <w:p w:rsidR="002827CC" w:rsidRDefault="002827CC" w:rsidP="00E83925">
      <w:pPr>
        <w:pStyle w:val="FootnoteText"/>
        <w:spacing w:line="480" w:lineRule="auto"/>
      </w:pPr>
      <w:r>
        <w:rPr>
          <w:rStyle w:val="FootnoteReference"/>
        </w:rPr>
        <w:footnoteRef/>
      </w:r>
      <w:r>
        <w:t xml:space="preserve"> But this theory will not be based </w:t>
      </w:r>
      <w:r w:rsidRPr="0015223D">
        <w:rPr>
          <w:i/>
        </w:rPr>
        <w:t>solely</w:t>
      </w:r>
      <w:r>
        <w:t xml:space="preserve"> on transfers of energy missing in omissions because disconnections don’t have such transfers. </w:t>
      </w:r>
      <w:r>
        <w:rPr>
          <w:rFonts w:cs="ITCGaramondStd-Lt"/>
          <w:color w:val="000000"/>
        </w:rPr>
        <w:t>Schaffer (296-99) provides intriguing qualifications about how a hybrid theory of connections like transfers of force and disconnections with absences might be constructed if we are to avoid a Humean regularity theory that can easily accommodate disconnections as causes.</w:t>
      </w:r>
    </w:p>
  </w:footnote>
  <w:footnote w:id="6">
    <w:p w:rsidR="002827CC" w:rsidRDefault="002827CC" w:rsidP="00E83925">
      <w:pPr>
        <w:pStyle w:val="FootnoteText"/>
        <w:spacing w:line="480" w:lineRule="auto"/>
      </w:pPr>
      <w:r>
        <w:rPr>
          <w:rStyle w:val="FootnoteReference"/>
        </w:rPr>
        <w:footnoteRef/>
      </w:r>
      <w:r>
        <w:t xml:space="preserve"> See also Kamm’s similar discussion of cases (1996).</w:t>
      </w:r>
    </w:p>
  </w:footnote>
  <w:footnote w:id="7">
    <w:p w:rsidR="00543584" w:rsidRPr="005C68BF" w:rsidRDefault="00543584" w:rsidP="00543584">
      <w:pPr>
        <w:pStyle w:val="FootnoteText"/>
        <w:spacing w:line="360" w:lineRule="auto"/>
      </w:pPr>
      <w:r w:rsidRPr="005C68BF">
        <w:rPr>
          <w:rStyle w:val="FootnoteReference"/>
        </w:rPr>
        <w:footnoteRef/>
      </w:r>
      <w:r w:rsidRPr="005C68BF">
        <w:t xml:space="preserve"> Readers should assume that the fatigue doesn’t make the life-saving impossible, just very difficult. I refer readers to footnote 11 about impossibility. One doesn’t qualify as a death allower when it is impossible to save.</w:t>
      </w:r>
    </w:p>
  </w:footnote>
  <w:footnote w:id="8">
    <w:p w:rsidR="002827CC" w:rsidRDefault="002827CC" w:rsidP="00E83925">
      <w:pPr>
        <w:pStyle w:val="FootnoteText"/>
        <w:spacing w:line="480" w:lineRule="auto"/>
      </w:pPr>
      <w:r>
        <w:rPr>
          <w:rStyle w:val="FootnoteReference"/>
        </w:rPr>
        <w:footnoteRef/>
      </w:r>
      <w:r>
        <w:t xml:space="preserve"> I am indebted to Neil Williams for helpful discussions clarifying many of the causation issues.  </w:t>
      </w:r>
    </w:p>
  </w:footnote>
  <w:footnote w:id="9">
    <w:p w:rsidR="002827CC" w:rsidRPr="00104EB0" w:rsidRDefault="002827CC" w:rsidP="00E83925">
      <w:pPr>
        <w:autoSpaceDE w:val="0"/>
        <w:autoSpaceDN w:val="0"/>
        <w:adjustRightInd w:val="0"/>
        <w:spacing w:after="0" w:line="480" w:lineRule="auto"/>
        <w:rPr>
          <w:sz w:val="20"/>
          <w:szCs w:val="20"/>
        </w:rPr>
      </w:pPr>
      <w:r>
        <w:rPr>
          <w:rStyle w:val="FootnoteReference"/>
        </w:rPr>
        <w:footnoteRef/>
      </w:r>
      <w:r>
        <w:t xml:space="preserve"> </w:t>
      </w:r>
      <w:r w:rsidRPr="00104EB0">
        <w:rPr>
          <w:rFonts w:cs="ITCGaramondStd-Lt"/>
          <w:color w:val="000000"/>
          <w:sz w:val="20"/>
          <w:szCs w:val="20"/>
        </w:rPr>
        <w:t xml:space="preserve">Anthony </w:t>
      </w:r>
      <w:proofErr w:type="spellStart"/>
      <w:r w:rsidRPr="00104EB0">
        <w:rPr>
          <w:rFonts w:cs="ITCGaramondStd-Lt"/>
          <w:color w:val="000000"/>
          <w:sz w:val="20"/>
          <w:szCs w:val="20"/>
        </w:rPr>
        <w:t>Woozley</w:t>
      </w:r>
      <w:proofErr w:type="spellEnd"/>
      <w:r>
        <w:rPr>
          <w:rFonts w:cs="ITCGaramondStd-Lt"/>
          <w:color w:val="000000"/>
          <w:sz w:val="20"/>
          <w:szCs w:val="20"/>
        </w:rPr>
        <w:t xml:space="preserve"> is a </w:t>
      </w:r>
      <w:r w:rsidRPr="007A2650">
        <w:rPr>
          <w:sz w:val="20"/>
          <w:szCs w:val="20"/>
        </w:rPr>
        <w:t>philosopher</w:t>
      </w:r>
      <w:r>
        <w:t xml:space="preserve"> who also </w:t>
      </w:r>
      <w:r>
        <w:rPr>
          <w:rFonts w:cs="ITCGaramondStd-Lt"/>
          <w:color w:val="000000"/>
          <w:sz w:val="20"/>
          <w:szCs w:val="20"/>
        </w:rPr>
        <w:t>believes the lack of consent can turn a withdrawal of aid into a killing (</w:t>
      </w:r>
      <w:r w:rsidRPr="00104EB0">
        <w:rPr>
          <w:rFonts w:cs="ITCGaramondStd-Lt"/>
          <w:color w:val="000000"/>
          <w:sz w:val="20"/>
          <w:szCs w:val="20"/>
        </w:rPr>
        <w:t>1983</w:t>
      </w:r>
      <w:r>
        <w:rPr>
          <w:rFonts w:cs="ITCGaramondStd-Lt"/>
          <w:color w:val="000000"/>
          <w:sz w:val="20"/>
          <w:szCs w:val="20"/>
        </w:rPr>
        <w:t>,</w:t>
      </w:r>
      <w:r w:rsidRPr="00104EB0">
        <w:rPr>
          <w:rFonts w:cs="ITCGaramondStd-Lt"/>
          <w:color w:val="000000"/>
          <w:sz w:val="20"/>
          <w:szCs w:val="20"/>
        </w:rPr>
        <w:t xml:space="preserve"> 1295</w:t>
      </w:r>
      <w:r>
        <w:rPr>
          <w:rFonts w:cs="ITCGaramondStd-Lt"/>
          <w:color w:val="000000"/>
          <w:sz w:val="20"/>
          <w:szCs w:val="20"/>
        </w:rPr>
        <w:t>-1297)</w:t>
      </w:r>
      <w:r w:rsidRPr="00104EB0">
        <w:rPr>
          <w:rFonts w:cs="ITCGaramondStd-Lt"/>
          <w:color w:val="000000"/>
          <w:sz w:val="20"/>
          <w:szCs w:val="20"/>
        </w:rPr>
        <w:t>.</w:t>
      </w:r>
    </w:p>
  </w:footnote>
  <w:footnote w:id="10">
    <w:p w:rsidR="00F859D2" w:rsidRDefault="00F859D2" w:rsidP="00E83925">
      <w:pPr>
        <w:pStyle w:val="FootnoteText"/>
        <w:spacing w:line="480" w:lineRule="auto"/>
      </w:pPr>
      <w:r>
        <w:rPr>
          <w:rStyle w:val="FootnoteReference"/>
        </w:rPr>
        <w:footnoteRef/>
      </w:r>
      <w:r>
        <w:t xml:space="preserve"> </w:t>
      </w:r>
      <w:r w:rsidRPr="00F859D2">
        <w:t xml:space="preserve">Sir William Osler, sometimes called the father of modern medicine, famously called </w:t>
      </w:r>
      <w:r>
        <w:t xml:space="preserve">pneumonia the </w:t>
      </w:r>
      <w:r w:rsidRPr="00F859D2">
        <w:t>"friend of the aged" (often rendered as "the old man's friend") because it was seen as a swift, relatively painless way to die.</w:t>
      </w:r>
      <w:r w:rsidRPr="00D9412A">
        <w:t xml:space="preserve"> </w:t>
      </w:r>
      <w:r w:rsidR="00841588">
        <w:t>C</w:t>
      </w:r>
      <w:r w:rsidRPr="00D9412A">
        <w:t xml:space="preserve">owpox is </w:t>
      </w:r>
      <w:r w:rsidR="00841588">
        <w:t xml:space="preserve">a </w:t>
      </w:r>
      <w:r w:rsidRPr="00D9412A">
        <w:t xml:space="preserve">beneficial </w:t>
      </w:r>
      <w:r w:rsidR="00841588">
        <w:t xml:space="preserve">disease </w:t>
      </w:r>
      <w:r w:rsidRPr="00D9412A">
        <w:t>as it protects one during a smallpox epidemic.</w:t>
      </w:r>
      <w:r>
        <w:t xml:space="preserve"> </w:t>
      </w:r>
      <w:r w:rsidRPr="00D9412A">
        <w:t xml:space="preserve">A woman with ten horrible kids and a “good for nothing” husband may welcome infertility. </w:t>
      </w:r>
    </w:p>
  </w:footnote>
  <w:footnote w:id="11">
    <w:p w:rsidR="00D6397D" w:rsidRDefault="00D6397D" w:rsidP="00E83925">
      <w:pPr>
        <w:pStyle w:val="FootnoteText"/>
        <w:spacing w:line="480" w:lineRule="auto"/>
      </w:pPr>
      <w:r>
        <w:rPr>
          <w:rStyle w:val="FootnoteReference"/>
        </w:rPr>
        <w:footnoteRef/>
      </w:r>
      <w:r>
        <w:t xml:space="preserve"> It may seem odd to say that you and I are letting people die in far off places from disease and starvation but this will dissipate once qualifications are added that we are not intentionally letting them die or that we are unaware and blameless for doing so. To let someone die requires the ability to conceptualize and do something about their deaths - when we were infants we did not let contemporaries die and as adults are not letting die people separated from us by centuries. </w:t>
      </w:r>
    </w:p>
  </w:footnote>
  <w:footnote w:id="12">
    <w:p w:rsidR="002827CC" w:rsidRDefault="002827CC" w:rsidP="00E83925">
      <w:pPr>
        <w:pStyle w:val="FootnoteText"/>
        <w:spacing w:line="480" w:lineRule="auto"/>
      </w:pPr>
      <w:r>
        <w:rPr>
          <w:rStyle w:val="FootnoteReference"/>
        </w:rPr>
        <w:footnoteRef/>
      </w:r>
      <w:r>
        <w:t xml:space="preserve"> I write “characterizing killing” rather than “defining killing” as I expect that some “Chisholming” will be required, fine tuning a definition to accommodate farfetched but conceptually legitimate counterexamples. What I am hoping </w:t>
      </w:r>
      <w:r w:rsidR="00FA6891" w:rsidRPr="00F271E4">
        <w:t xml:space="preserve">to </w:t>
      </w:r>
      <w:r>
        <w:t xml:space="preserve">characterize will accommodate most cases and will remain as the core notion when some fine tuning is required. </w:t>
      </w:r>
    </w:p>
  </w:footnote>
  <w:footnote w:id="13">
    <w:p w:rsidR="002827CC" w:rsidRDefault="002827CC" w:rsidP="00E83925">
      <w:pPr>
        <w:pStyle w:val="FootnoteText"/>
        <w:spacing w:line="480" w:lineRule="auto"/>
      </w:pPr>
      <w:r>
        <w:rPr>
          <w:rStyle w:val="FootnoteReference"/>
        </w:rPr>
        <w:footnoteRef/>
      </w:r>
      <w:r>
        <w:t xml:space="preserve"> It might be thought that my preferred account suffers also from a collective involving people withdrawing aid they were providing from those who weren’t so involved, but I suspect they have been “deputized” and so have become team members</w:t>
      </w:r>
    </w:p>
  </w:footnote>
  <w:footnote w:id="14">
    <w:p w:rsidR="00667D46" w:rsidRPr="005C68BF" w:rsidRDefault="00667D46" w:rsidP="0051610E">
      <w:pPr>
        <w:pStyle w:val="FootnoteText"/>
        <w:spacing w:line="480" w:lineRule="auto"/>
      </w:pPr>
      <w:r w:rsidRPr="005C68BF">
        <w:rPr>
          <w:rStyle w:val="FootnoteReference"/>
        </w:rPr>
        <w:footnoteRef/>
      </w:r>
      <w:r w:rsidRPr="005C68BF">
        <w:t xml:space="preserve"> The individual who fails to provide the support must have had a “real live possibility” of saving the person. If the person who is dying is too far away spatially or temporally etc., that person has not been allowed to die by someone confronting these or other insurmountable obstacles that they couldn’t have avoided.</w:t>
      </w:r>
    </w:p>
  </w:footnote>
  <w:footnote w:id="15">
    <w:p w:rsidR="002827CC" w:rsidRDefault="002827CC" w:rsidP="00E83925">
      <w:pPr>
        <w:pStyle w:val="FootnoteText"/>
        <w:spacing w:line="480" w:lineRule="auto"/>
      </w:pPr>
      <w:r>
        <w:rPr>
          <w:rStyle w:val="FootnoteReference"/>
        </w:rPr>
        <w:footnoteRef/>
      </w:r>
      <w:r>
        <w:t xml:space="preserve"> I am indebted here to Guyora Binder pushing me to explain (away) such normativity</w:t>
      </w:r>
      <w:r w:rsidR="00D463DF">
        <w:t>.</w:t>
      </w:r>
    </w:p>
  </w:footnote>
  <w:footnote w:id="16">
    <w:p w:rsidR="000770D5" w:rsidRDefault="000770D5" w:rsidP="00E83925">
      <w:pPr>
        <w:pStyle w:val="FootnoteText"/>
        <w:spacing w:line="480" w:lineRule="auto"/>
      </w:pPr>
      <w:r>
        <w:rPr>
          <w:rStyle w:val="FootnoteReference"/>
        </w:rPr>
        <w:footnoteRef/>
      </w:r>
      <w:r>
        <w:t xml:space="preserve"> It may be that there are cases of letting die </w:t>
      </w:r>
      <w:r w:rsidR="00EC1504">
        <w:t xml:space="preserve">in the absence of normativity </w:t>
      </w:r>
      <w:r w:rsidR="00EC1504" w:rsidRPr="00EC1504">
        <w:rPr>
          <w:vertAlign w:val="subscript"/>
        </w:rPr>
        <w:t>N</w:t>
      </w:r>
      <w:r w:rsidR="00EC1504">
        <w:rPr>
          <w:vertAlign w:val="subscript"/>
        </w:rPr>
        <w:t xml:space="preserve"> </w:t>
      </w:r>
      <w:r w:rsidR="00EC1504">
        <w:t xml:space="preserve">if there are conscious beings – sophisticated animals or immature or brain damaged human beings - that can conceptualize death and make choices </w:t>
      </w:r>
      <w:r w:rsidR="00DA502F">
        <w:t xml:space="preserve">that result in death </w:t>
      </w:r>
      <w:r w:rsidR="00EC1504">
        <w:t xml:space="preserve">but </w:t>
      </w:r>
      <w:r w:rsidR="00DA502F">
        <w:t xml:space="preserve">do </w:t>
      </w:r>
      <w:r w:rsidR="00EC1504">
        <w:t xml:space="preserve">not </w:t>
      </w:r>
      <w:r w:rsidR="00DA502F">
        <w:t xml:space="preserve">comprehend any norms governing ownership. </w:t>
      </w:r>
    </w:p>
  </w:footnote>
  <w:footnote w:id="17">
    <w:p w:rsidR="002827CC" w:rsidRDefault="002827CC" w:rsidP="00E83925">
      <w:pPr>
        <w:pStyle w:val="FootnoteText"/>
        <w:spacing w:line="480" w:lineRule="auto"/>
      </w:pPr>
      <w:r>
        <w:rPr>
          <w:rStyle w:val="FootnoteReference"/>
        </w:rPr>
        <w:footnoteRef/>
      </w:r>
      <w:r>
        <w:t xml:space="preserve"> There are killings that are so only because the killer also lets the person die. He may have stabbed his victim and then didn’t stop the bleeding or call a paramedic to do so. But the killing (stabbing) is a different event that begins earlier than the later letting the person die. So, a death can involve an event that is a killing and another that is a death allowing undertaken by the same agent. What exclusivity denies is that the withdrawal is </w:t>
      </w:r>
      <w:r w:rsidRPr="00B4707A">
        <w:rPr>
          <w:i/>
        </w:rPr>
        <w:t>simultaneously</w:t>
      </w:r>
      <w:r>
        <w:t xml:space="preserve"> a killing and letting die.</w:t>
      </w:r>
    </w:p>
  </w:footnote>
  <w:footnote w:id="18">
    <w:p w:rsidR="002827CC" w:rsidRPr="00E5589C" w:rsidRDefault="002827CC" w:rsidP="00E83925">
      <w:pPr>
        <w:pStyle w:val="FootnoteText"/>
        <w:spacing w:line="480" w:lineRule="auto"/>
        <w:rPr>
          <w:rFonts w:cs="ITCGaramondStd-Lt"/>
          <w:color w:val="000000"/>
        </w:rPr>
      </w:pPr>
      <w:r>
        <w:rPr>
          <w:rStyle w:val="FootnoteReference"/>
        </w:rPr>
        <w:footnoteRef/>
      </w:r>
      <w:r>
        <w:t xml:space="preserve"> More </w:t>
      </w:r>
      <w:r>
        <w:rPr>
          <w:rFonts w:cs="ITCGaramondStd-Lt"/>
          <w:color w:val="000000"/>
        </w:rPr>
        <w:t>Chisholming will be needed as the man withdrawing the aid mustn’t have created the original need for aid (McMahan, 253, 261</w:t>
      </w:r>
      <w:r w:rsidR="00C811A9">
        <w:rPr>
          <w:rFonts w:cs="ITCGaramondStd-Lt"/>
          <w:color w:val="000000"/>
        </w:rPr>
        <w:t>; Kamm, 1996, 6</w:t>
      </w:r>
      <w:r w:rsidR="00F9507A">
        <w:rPr>
          <w:rFonts w:cs="ITCGaramondStd-Lt"/>
          <w:color w:val="000000"/>
        </w:rPr>
        <w:t>9</w:t>
      </w:r>
      <w:r>
        <w:rPr>
          <w:rFonts w:cs="ITCGaramondStd-Lt"/>
          <w:color w:val="000000"/>
        </w:rPr>
        <w:t>).</w:t>
      </w:r>
    </w:p>
  </w:footnote>
  <w:footnote w:id="19">
    <w:p w:rsidR="002827CC" w:rsidRDefault="002827CC" w:rsidP="00E83925">
      <w:pPr>
        <w:pStyle w:val="FootnoteText"/>
        <w:spacing w:line="480" w:lineRule="auto"/>
      </w:pPr>
      <w:r>
        <w:rPr>
          <w:rStyle w:val="FootnoteReference"/>
        </w:rPr>
        <w:footnoteRef/>
      </w:r>
      <w:r>
        <w:t xml:space="preserve"> </w:t>
      </w:r>
      <w:r w:rsidR="00667D46" w:rsidRPr="00667D46">
        <w:rPr>
          <w:rFonts w:cs="ITCGaramondStd-Lt"/>
          <w:color w:val="000000"/>
        </w:rPr>
        <w:t>This is not a definition as, for all I know, God can kill without doing so via the transfer of physical force.</w:t>
      </w:r>
    </w:p>
  </w:footnote>
  <w:footnote w:id="20">
    <w:p w:rsidR="002827CC" w:rsidRDefault="002827CC" w:rsidP="00E83925">
      <w:pPr>
        <w:pStyle w:val="FootnoteText"/>
        <w:spacing w:line="480" w:lineRule="auto"/>
      </w:pPr>
      <w:r>
        <w:rPr>
          <w:rStyle w:val="FootnoteReference"/>
        </w:rPr>
        <w:footnoteRef/>
      </w:r>
      <w:r>
        <w:t xml:space="preserve"> My strategy is somewhat similar to John Fischer’s </w:t>
      </w:r>
      <w:r w:rsidR="00430905">
        <w:t xml:space="preserve">(2008, 44) </w:t>
      </w:r>
      <w:r>
        <w:t xml:space="preserve">defense of a compatibilist account of free will and responsibility not depending upon the latest and best theory of scientific indeterminacy. Our responsibility doesn’t vanish if scientists abandon indeterminacy. Likewise, our beliefs about what is a case of killing and what is an instance of letting someone die will not alter with the most recent and best metaphysical account of causation. </w:t>
      </w:r>
    </w:p>
  </w:footnote>
  <w:footnote w:id="21">
    <w:p w:rsidR="002827CC" w:rsidRDefault="002827CC" w:rsidP="00E83925">
      <w:pPr>
        <w:pStyle w:val="FootnoteText"/>
        <w:spacing w:line="480" w:lineRule="auto"/>
      </w:pPr>
      <w:r>
        <w:rPr>
          <w:rStyle w:val="FootnoteReference"/>
        </w:rPr>
        <w:footnoteRef/>
      </w:r>
      <w:r>
        <w:t xml:space="preserve"> I understand </w:t>
      </w:r>
      <w:r w:rsidRPr="00725248">
        <w:rPr>
          <w:i/>
        </w:rPr>
        <w:t xml:space="preserve">imposing </w:t>
      </w:r>
      <w:r>
        <w:t xml:space="preserve">to include acts such as putting something lethal into a person, pushing someone into the lethal object, or withdrawing what was preventing the lethal entity. Just as reintroducing or reinitiating a threat is introducing or initiating a threat, the same is true for the imposition relation. </w:t>
      </w:r>
    </w:p>
  </w:footnote>
  <w:footnote w:id="22">
    <w:p w:rsidR="00DB025D" w:rsidRPr="005C68BF" w:rsidRDefault="00DB025D" w:rsidP="00DB025D">
      <w:pPr>
        <w:pStyle w:val="FootnoteText"/>
        <w:spacing w:line="360" w:lineRule="auto"/>
      </w:pPr>
      <w:bookmarkStart w:id="8" w:name="_Hlk69482359"/>
      <w:r>
        <w:rPr>
          <w:rStyle w:val="FootnoteReference"/>
        </w:rPr>
        <w:footnoteRef/>
      </w:r>
      <w:r>
        <w:t xml:space="preserve"> </w:t>
      </w:r>
      <w:r w:rsidRPr="005C68BF">
        <w:t xml:space="preserve">The fine tuning is meant to ascribe killing to someone who </w:t>
      </w:r>
      <w:r w:rsidR="00A72434" w:rsidRPr="005C68BF">
        <w:t>initial</w:t>
      </w:r>
      <w:r w:rsidR="00A72434" w:rsidRPr="00A72434">
        <w:t>ly</w:t>
      </w:r>
      <w:r w:rsidRPr="005C68BF">
        <w:t xml:space="preserve"> imposed a fatal threat, even if the same person temporarily prevented it from taking its fatal course and then later </w:t>
      </w:r>
      <w:r w:rsidR="008A7D08" w:rsidRPr="005C68BF">
        <w:t>ceased to do so</w:t>
      </w:r>
      <w:r w:rsidRPr="005C68BF">
        <w:t>.</w:t>
      </w:r>
    </w:p>
    <w:bookmarkEnd w:id="8"/>
  </w:footnote>
  <w:footnote w:id="23">
    <w:p w:rsidR="00F23677" w:rsidRPr="005C68BF" w:rsidRDefault="00F23677" w:rsidP="00F23677">
      <w:pPr>
        <w:pStyle w:val="FootnoteText"/>
        <w:spacing w:line="360" w:lineRule="auto"/>
      </w:pPr>
      <w:r>
        <w:rPr>
          <w:rStyle w:val="FootnoteReference"/>
        </w:rPr>
        <w:footnoteRef/>
      </w:r>
      <w:r>
        <w:t xml:space="preserve"> </w:t>
      </w:r>
      <w:r w:rsidRPr="005C68BF">
        <w:t>A hysterotomy differs from a hysterectomy in that it doesn’t involve removing all of the uterus. It involves an incision in the pregnant woman’s abdomen and the removal of the fetus for surgery or an extraction abortion. In the latter case, it is exactly the same as caesarean section, the only difference being the intention of the operation. In hysterotomy, the intention is to bring about the death of the embryo through its removal whereas in a C-section the intention is to bring forth a live child whose life will be preserved.</w:t>
      </w:r>
    </w:p>
  </w:footnote>
  <w:footnote w:id="24">
    <w:p w:rsidR="006934C7" w:rsidRPr="005C68BF" w:rsidRDefault="006934C7" w:rsidP="006934C7">
      <w:pPr>
        <w:pStyle w:val="FootnoteText"/>
        <w:spacing w:line="360" w:lineRule="auto"/>
      </w:pPr>
      <w:r w:rsidRPr="005C68BF">
        <w:rPr>
          <w:rStyle w:val="FootnoteReference"/>
        </w:rPr>
        <w:footnoteRef/>
      </w:r>
      <w:r w:rsidRPr="005C68BF">
        <w:t xml:space="preserve"> If women could remove their own fetuses, then it would be like someone detaching themselves from the violinist, a case of letting die.</w:t>
      </w:r>
    </w:p>
  </w:footnote>
  <w:footnote w:id="25">
    <w:p w:rsidR="002827CC" w:rsidRDefault="002827CC" w:rsidP="00E83925">
      <w:pPr>
        <w:pStyle w:val="FootnoteText"/>
        <w:spacing w:line="480" w:lineRule="auto"/>
      </w:pPr>
      <w:r>
        <w:rPr>
          <w:rStyle w:val="FootnoteReference"/>
        </w:rPr>
        <w:footnoteRef/>
      </w:r>
      <w:r>
        <w:t xml:space="preserve"> Yancy (forthcoming) argues that viewing Kingma’s ideas through hylomorphic lens suggests the mother becomes a part of her embryo as her body acts like an organ serving the survival ends of the embryo!  If the mother is a part of the embryo, then a fatal detachment of the maternal part would be a killing just as extracting one’s heart would be. Likewise, if the embryo and the mother are parts of a third entity composed of them both. Fatally detaching the embryonic part would be like killing the cells in one’s hand by cutting off one’s hands. </w:t>
      </w:r>
    </w:p>
  </w:footnote>
  <w:footnote w:id="26">
    <w:p w:rsidR="002827CC" w:rsidRDefault="002827CC" w:rsidP="00E83925">
      <w:pPr>
        <w:pStyle w:val="FootnoteText"/>
        <w:spacing w:line="480" w:lineRule="auto"/>
      </w:pPr>
      <w:r>
        <w:rPr>
          <w:rStyle w:val="FootnoteReference"/>
        </w:rPr>
        <w:footnoteRef/>
      </w:r>
      <w:r>
        <w:t xml:space="preserve"> Defenses of </w:t>
      </w:r>
      <w:r w:rsidR="00281B89">
        <w:t xml:space="preserve">the </w:t>
      </w:r>
      <w:r>
        <w:t xml:space="preserve">nonequivalence of killing and letting die are offered by Kamm (1996, 17-120), Frieberg-Fernros (2018), Colgrove </w:t>
      </w:r>
      <w:r w:rsidR="00E60182">
        <w:t>(</w:t>
      </w:r>
      <w:r>
        <w:t>Forthcoming</w:t>
      </w:r>
      <w:r w:rsidR="00E60182">
        <w:t>)</w:t>
      </w:r>
      <w:r>
        <w:t>.</w:t>
      </w:r>
      <w:r w:rsidR="00E60182" w:rsidRPr="00E60182">
        <w:rPr>
          <w:b/>
        </w:rPr>
        <w:t xml:space="preserve"> </w:t>
      </w:r>
    </w:p>
  </w:footnote>
  <w:footnote w:id="27">
    <w:p w:rsidR="00E60182" w:rsidRPr="005C68BF" w:rsidRDefault="00E60182" w:rsidP="00216DBD">
      <w:pPr>
        <w:pStyle w:val="FootnoteText"/>
        <w:spacing w:line="360" w:lineRule="auto"/>
      </w:pPr>
      <w:r>
        <w:rPr>
          <w:rStyle w:val="FootnoteReference"/>
        </w:rPr>
        <w:footnoteRef/>
      </w:r>
      <w:r w:rsidRPr="005C68BF">
        <w:t xml:space="preserve">The features accompanying </w:t>
      </w:r>
      <w:r w:rsidRPr="005C68BF">
        <w:rPr>
          <w:i/>
        </w:rPr>
        <w:t>some</w:t>
      </w:r>
      <w:r w:rsidRPr="005C68BF">
        <w:t xml:space="preserve"> killings that are required to make those killings morally worse than cases of letting die need to accompany the features found in </w:t>
      </w:r>
      <w:r w:rsidRPr="005C68BF">
        <w:rPr>
          <w:i/>
        </w:rPr>
        <w:t>all</w:t>
      </w:r>
      <w:r w:rsidRPr="005C68BF">
        <w:t xml:space="preserve"> killings. But this latter feature</w:t>
      </w:r>
      <w:r w:rsidR="00F47D06" w:rsidRPr="005C68BF">
        <w:t xml:space="preserve"> or features </w:t>
      </w:r>
      <w:r w:rsidRPr="005C68BF">
        <w:t xml:space="preserve">common to all killings, by </w:t>
      </w:r>
      <w:r w:rsidR="00EE003D" w:rsidRPr="005C68BF">
        <w:t>themselves</w:t>
      </w:r>
      <w:r w:rsidRPr="005C68BF">
        <w:t xml:space="preserve"> won’t make killings morally bad or worse than instances of letting die. So, while the greater wrong-making feature in killing than letting die must be coupled with features common to all killings, the latter </w:t>
      </w:r>
      <w:r w:rsidR="00EE003D" w:rsidRPr="005C68BF">
        <w:t>are</w:t>
      </w:r>
      <w:r w:rsidRPr="005C68BF">
        <w:t xml:space="preserve"> not enough to make a killing wrong by itself. In other words, the crucial additional wrong-making feature will not serve to demarcate cases of killings from cases of letting die as it won’t be present in all cases of killing. The taxonomizing feature </w:t>
      </w:r>
      <w:r w:rsidR="00216DBD" w:rsidRPr="005C68BF">
        <w:t xml:space="preserve">found in all cases of killing </w:t>
      </w:r>
      <w:r w:rsidRPr="005C68BF">
        <w:t>is not inherently immoral but requires coupling with some other components – perhaps moral agency and intention - for immorality to arise.</w:t>
      </w:r>
      <w:r w:rsidR="00216DBD" w:rsidRPr="005C68BF">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AC"/>
    <w:rsid w:val="0000168A"/>
    <w:rsid w:val="00007AFA"/>
    <w:rsid w:val="00010EFB"/>
    <w:rsid w:val="00023C3C"/>
    <w:rsid w:val="00023C86"/>
    <w:rsid w:val="00031F57"/>
    <w:rsid w:val="00033FBE"/>
    <w:rsid w:val="00044016"/>
    <w:rsid w:val="000445F0"/>
    <w:rsid w:val="00046FC0"/>
    <w:rsid w:val="0005015F"/>
    <w:rsid w:val="000552D5"/>
    <w:rsid w:val="00055421"/>
    <w:rsid w:val="000578CD"/>
    <w:rsid w:val="00062746"/>
    <w:rsid w:val="00064CA9"/>
    <w:rsid w:val="0006561A"/>
    <w:rsid w:val="00071263"/>
    <w:rsid w:val="0007155C"/>
    <w:rsid w:val="000728C9"/>
    <w:rsid w:val="00075CEF"/>
    <w:rsid w:val="000770D5"/>
    <w:rsid w:val="0007740F"/>
    <w:rsid w:val="0008103A"/>
    <w:rsid w:val="0009138C"/>
    <w:rsid w:val="000927B6"/>
    <w:rsid w:val="0009545B"/>
    <w:rsid w:val="00095F3D"/>
    <w:rsid w:val="000A21D1"/>
    <w:rsid w:val="000A6A90"/>
    <w:rsid w:val="000A7180"/>
    <w:rsid w:val="000C0C00"/>
    <w:rsid w:val="000C5FE3"/>
    <w:rsid w:val="000C78E3"/>
    <w:rsid w:val="000D271D"/>
    <w:rsid w:val="000D2D6C"/>
    <w:rsid w:val="000D3F29"/>
    <w:rsid w:val="000D4761"/>
    <w:rsid w:val="000D4CB3"/>
    <w:rsid w:val="000E5F77"/>
    <w:rsid w:val="000F23BA"/>
    <w:rsid w:val="000F26E6"/>
    <w:rsid w:val="000F3DB7"/>
    <w:rsid w:val="000F5794"/>
    <w:rsid w:val="000F6B00"/>
    <w:rsid w:val="00100533"/>
    <w:rsid w:val="00103D9A"/>
    <w:rsid w:val="00103DFF"/>
    <w:rsid w:val="00104EB0"/>
    <w:rsid w:val="001070B2"/>
    <w:rsid w:val="00107670"/>
    <w:rsid w:val="00110F77"/>
    <w:rsid w:val="00111156"/>
    <w:rsid w:val="00112139"/>
    <w:rsid w:val="001143F4"/>
    <w:rsid w:val="00116413"/>
    <w:rsid w:val="0011655C"/>
    <w:rsid w:val="00121B94"/>
    <w:rsid w:val="00122121"/>
    <w:rsid w:val="001222A2"/>
    <w:rsid w:val="00126CF3"/>
    <w:rsid w:val="001424EC"/>
    <w:rsid w:val="0014384E"/>
    <w:rsid w:val="001460D9"/>
    <w:rsid w:val="00146DFB"/>
    <w:rsid w:val="0015223D"/>
    <w:rsid w:val="00157603"/>
    <w:rsid w:val="00157D79"/>
    <w:rsid w:val="00163868"/>
    <w:rsid w:val="001660A9"/>
    <w:rsid w:val="00166B94"/>
    <w:rsid w:val="0016703A"/>
    <w:rsid w:val="00171D2F"/>
    <w:rsid w:val="00172327"/>
    <w:rsid w:val="00173423"/>
    <w:rsid w:val="00180EFA"/>
    <w:rsid w:val="00183175"/>
    <w:rsid w:val="00185110"/>
    <w:rsid w:val="001863DB"/>
    <w:rsid w:val="001944FD"/>
    <w:rsid w:val="0019482C"/>
    <w:rsid w:val="00195327"/>
    <w:rsid w:val="001953F5"/>
    <w:rsid w:val="001A6B33"/>
    <w:rsid w:val="001A6C79"/>
    <w:rsid w:val="001B264D"/>
    <w:rsid w:val="001B2D60"/>
    <w:rsid w:val="001B4527"/>
    <w:rsid w:val="001C0ED4"/>
    <w:rsid w:val="001C290D"/>
    <w:rsid w:val="001C2EE3"/>
    <w:rsid w:val="001C7783"/>
    <w:rsid w:val="001D04E8"/>
    <w:rsid w:val="001D54E7"/>
    <w:rsid w:val="001E068D"/>
    <w:rsid w:val="001E14EB"/>
    <w:rsid w:val="001E4175"/>
    <w:rsid w:val="001E5812"/>
    <w:rsid w:val="001E79A5"/>
    <w:rsid w:val="001F11B3"/>
    <w:rsid w:val="001F3E5E"/>
    <w:rsid w:val="00200444"/>
    <w:rsid w:val="00200C07"/>
    <w:rsid w:val="00203DB6"/>
    <w:rsid w:val="00205DE5"/>
    <w:rsid w:val="00214B49"/>
    <w:rsid w:val="00214B51"/>
    <w:rsid w:val="002169F6"/>
    <w:rsid w:val="00216DBD"/>
    <w:rsid w:val="002213B2"/>
    <w:rsid w:val="00227311"/>
    <w:rsid w:val="00235463"/>
    <w:rsid w:val="002358DA"/>
    <w:rsid w:val="00236E8D"/>
    <w:rsid w:val="00252279"/>
    <w:rsid w:val="00252F7B"/>
    <w:rsid w:val="0025522C"/>
    <w:rsid w:val="002570D3"/>
    <w:rsid w:val="00265381"/>
    <w:rsid w:val="00266EE7"/>
    <w:rsid w:val="002673AA"/>
    <w:rsid w:val="00272460"/>
    <w:rsid w:val="002760EA"/>
    <w:rsid w:val="00276BD1"/>
    <w:rsid w:val="00281B89"/>
    <w:rsid w:val="00281D17"/>
    <w:rsid w:val="002827CC"/>
    <w:rsid w:val="00284CA7"/>
    <w:rsid w:val="00295E9A"/>
    <w:rsid w:val="00295F59"/>
    <w:rsid w:val="002A1B37"/>
    <w:rsid w:val="002A1F71"/>
    <w:rsid w:val="002A20F2"/>
    <w:rsid w:val="002A5F87"/>
    <w:rsid w:val="002B3A94"/>
    <w:rsid w:val="002B76A9"/>
    <w:rsid w:val="002C5C9D"/>
    <w:rsid w:val="002E0F39"/>
    <w:rsid w:val="002E186C"/>
    <w:rsid w:val="002E26FE"/>
    <w:rsid w:val="002E56FE"/>
    <w:rsid w:val="002E6F84"/>
    <w:rsid w:val="002F1A18"/>
    <w:rsid w:val="002F5178"/>
    <w:rsid w:val="002F74EA"/>
    <w:rsid w:val="002F7E6E"/>
    <w:rsid w:val="00300A6C"/>
    <w:rsid w:val="00303C99"/>
    <w:rsid w:val="00303D36"/>
    <w:rsid w:val="003101BD"/>
    <w:rsid w:val="003119CE"/>
    <w:rsid w:val="00314D99"/>
    <w:rsid w:val="0031605D"/>
    <w:rsid w:val="00316576"/>
    <w:rsid w:val="0032057B"/>
    <w:rsid w:val="00322012"/>
    <w:rsid w:val="0032227F"/>
    <w:rsid w:val="00323574"/>
    <w:rsid w:val="00324F52"/>
    <w:rsid w:val="003273FC"/>
    <w:rsid w:val="00327C07"/>
    <w:rsid w:val="00330AAA"/>
    <w:rsid w:val="0033232B"/>
    <w:rsid w:val="003329D6"/>
    <w:rsid w:val="00333680"/>
    <w:rsid w:val="003336DB"/>
    <w:rsid w:val="0034466F"/>
    <w:rsid w:val="003454BA"/>
    <w:rsid w:val="003503CA"/>
    <w:rsid w:val="00353301"/>
    <w:rsid w:val="003550E9"/>
    <w:rsid w:val="00355BB3"/>
    <w:rsid w:val="00357AB6"/>
    <w:rsid w:val="00363629"/>
    <w:rsid w:val="0036503B"/>
    <w:rsid w:val="003650F7"/>
    <w:rsid w:val="0037045C"/>
    <w:rsid w:val="00371AF3"/>
    <w:rsid w:val="00373AB8"/>
    <w:rsid w:val="00375622"/>
    <w:rsid w:val="00375A4A"/>
    <w:rsid w:val="0039367B"/>
    <w:rsid w:val="00394486"/>
    <w:rsid w:val="003A255D"/>
    <w:rsid w:val="003A2851"/>
    <w:rsid w:val="003B071E"/>
    <w:rsid w:val="003B0BC1"/>
    <w:rsid w:val="003B230B"/>
    <w:rsid w:val="003B3361"/>
    <w:rsid w:val="003B46BD"/>
    <w:rsid w:val="003B7636"/>
    <w:rsid w:val="003C0C64"/>
    <w:rsid w:val="003C1B3D"/>
    <w:rsid w:val="003D4259"/>
    <w:rsid w:val="003D64FD"/>
    <w:rsid w:val="003D6A36"/>
    <w:rsid w:val="003E17EC"/>
    <w:rsid w:val="003E3623"/>
    <w:rsid w:val="003F3EBC"/>
    <w:rsid w:val="003F43A7"/>
    <w:rsid w:val="00400A5A"/>
    <w:rsid w:val="00402B84"/>
    <w:rsid w:val="0041124A"/>
    <w:rsid w:val="004210FE"/>
    <w:rsid w:val="004218F8"/>
    <w:rsid w:val="00422412"/>
    <w:rsid w:val="00423D76"/>
    <w:rsid w:val="00423EC4"/>
    <w:rsid w:val="00424B9D"/>
    <w:rsid w:val="00430905"/>
    <w:rsid w:val="00432AA5"/>
    <w:rsid w:val="00441517"/>
    <w:rsid w:val="00445C06"/>
    <w:rsid w:val="004603C0"/>
    <w:rsid w:val="004625E6"/>
    <w:rsid w:val="00462A27"/>
    <w:rsid w:val="00462C08"/>
    <w:rsid w:val="00467FD1"/>
    <w:rsid w:val="00470DE8"/>
    <w:rsid w:val="00471D78"/>
    <w:rsid w:val="00474EE6"/>
    <w:rsid w:val="00475682"/>
    <w:rsid w:val="004771D7"/>
    <w:rsid w:val="00480EA0"/>
    <w:rsid w:val="00490B91"/>
    <w:rsid w:val="004941BD"/>
    <w:rsid w:val="00494A32"/>
    <w:rsid w:val="004950F9"/>
    <w:rsid w:val="00497B4A"/>
    <w:rsid w:val="004A4B54"/>
    <w:rsid w:val="004B3638"/>
    <w:rsid w:val="004B7E09"/>
    <w:rsid w:val="004C02B6"/>
    <w:rsid w:val="004C0F8A"/>
    <w:rsid w:val="004C236D"/>
    <w:rsid w:val="004C25EF"/>
    <w:rsid w:val="004D71C8"/>
    <w:rsid w:val="004E6EBF"/>
    <w:rsid w:val="004E6EDA"/>
    <w:rsid w:val="004E75B8"/>
    <w:rsid w:val="004F0139"/>
    <w:rsid w:val="00501069"/>
    <w:rsid w:val="0050610F"/>
    <w:rsid w:val="00506A16"/>
    <w:rsid w:val="00506D15"/>
    <w:rsid w:val="00507384"/>
    <w:rsid w:val="005111DE"/>
    <w:rsid w:val="00513DF7"/>
    <w:rsid w:val="0051537F"/>
    <w:rsid w:val="0051610E"/>
    <w:rsid w:val="00516DA3"/>
    <w:rsid w:val="00520FD5"/>
    <w:rsid w:val="00523FE3"/>
    <w:rsid w:val="005347CC"/>
    <w:rsid w:val="00540450"/>
    <w:rsid w:val="00542FAD"/>
    <w:rsid w:val="00543584"/>
    <w:rsid w:val="005462B1"/>
    <w:rsid w:val="005470B1"/>
    <w:rsid w:val="00550EB9"/>
    <w:rsid w:val="005527AC"/>
    <w:rsid w:val="00556F32"/>
    <w:rsid w:val="00561D40"/>
    <w:rsid w:val="005664EA"/>
    <w:rsid w:val="00570E68"/>
    <w:rsid w:val="00571107"/>
    <w:rsid w:val="00572843"/>
    <w:rsid w:val="00573B54"/>
    <w:rsid w:val="005774A7"/>
    <w:rsid w:val="00580DA2"/>
    <w:rsid w:val="00581F80"/>
    <w:rsid w:val="00583636"/>
    <w:rsid w:val="0058638E"/>
    <w:rsid w:val="005922B5"/>
    <w:rsid w:val="00593971"/>
    <w:rsid w:val="00595D23"/>
    <w:rsid w:val="005962AC"/>
    <w:rsid w:val="00597207"/>
    <w:rsid w:val="005A1C6D"/>
    <w:rsid w:val="005A49B2"/>
    <w:rsid w:val="005A4C89"/>
    <w:rsid w:val="005A5525"/>
    <w:rsid w:val="005A67BD"/>
    <w:rsid w:val="005A7A20"/>
    <w:rsid w:val="005B17D9"/>
    <w:rsid w:val="005B6405"/>
    <w:rsid w:val="005C1AC8"/>
    <w:rsid w:val="005C3150"/>
    <w:rsid w:val="005C68BF"/>
    <w:rsid w:val="005D7CBE"/>
    <w:rsid w:val="005F1FAE"/>
    <w:rsid w:val="005F41DA"/>
    <w:rsid w:val="005F5235"/>
    <w:rsid w:val="005F5384"/>
    <w:rsid w:val="005F722A"/>
    <w:rsid w:val="00600A29"/>
    <w:rsid w:val="006031AA"/>
    <w:rsid w:val="00603D3D"/>
    <w:rsid w:val="006101C0"/>
    <w:rsid w:val="006118CD"/>
    <w:rsid w:val="0061753D"/>
    <w:rsid w:val="00617638"/>
    <w:rsid w:val="006250EB"/>
    <w:rsid w:val="006277FB"/>
    <w:rsid w:val="00631B43"/>
    <w:rsid w:val="00636BBC"/>
    <w:rsid w:val="006421A7"/>
    <w:rsid w:val="006500AC"/>
    <w:rsid w:val="00655DF6"/>
    <w:rsid w:val="00656754"/>
    <w:rsid w:val="00657ED4"/>
    <w:rsid w:val="00660C91"/>
    <w:rsid w:val="00660DA8"/>
    <w:rsid w:val="00661A83"/>
    <w:rsid w:val="00667D46"/>
    <w:rsid w:val="00671E21"/>
    <w:rsid w:val="00674DBC"/>
    <w:rsid w:val="00681BB1"/>
    <w:rsid w:val="00684591"/>
    <w:rsid w:val="006934C7"/>
    <w:rsid w:val="00696B3E"/>
    <w:rsid w:val="00697FE8"/>
    <w:rsid w:val="006B1C7C"/>
    <w:rsid w:val="006B2D6D"/>
    <w:rsid w:val="006C316F"/>
    <w:rsid w:val="006C508F"/>
    <w:rsid w:val="006C5867"/>
    <w:rsid w:val="006C5A3D"/>
    <w:rsid w:val="006C6091"/>
    <w:rsid w:val="006D36BF"/>
    <w:rsid w:val="006D4AC5"/>
    <w:rsid w:val="006D5A8D"/>
    <w:rsid w:val="006D6CF5"/>
    <w:rsid w:val="006E3A21"/>
    <w:rsid w:val="006E3FD7"/>
    <w:rsid w:val="006E46C6"/>
    <w:rsid w:val="006E4EA4"/>
    <w:rsid w:val="006E4F44"/>
    <w:rsid w:val="006E5E53"/>
    <w:rsid w:val="006F4320"/>
    <w:rsid w:val="006F6CC9"/>
    <w:rsid w:val="00702CF7"/>
    <w:rsid w:val="00705DD0"/>
    <w:rsid w:val="00710152"/>
    <w:rsid w:val="00710D3A"/>
    <w:rsid w:val="00717879"/>
    <w:rsid w:val="00717F8A"/>
    <w:rsid w:val="00721C30"/>
    <w:rsid w:val="00723D50"/>
    <w:rsid w:val="00725248"/>
    <w:rsid w:val="0073048F"/>
    <w:rsid w:val="00734776"/>
    <w:rsid w:val="00741431"/>
    <w:rsid w:val="0074441B"/>
    <w:rsid w:val="00751045"/>
    <w:rsid w:val="0075151A"/>
    <w:rsid w:val="00752887"/>
    <w:rsid w:val="007533B6"/>
    <w:rsid w:val="00755771"/>
    <w:rsid w:val="007561E1"/>
    <w:rsid w:val="00761DCF"/>
    <w:rsid w:val="00764CEA"/>
    <w:rsid w:val="007700CD"/>
    <w:rsid w:val="00771926"/>
    <w:rsid w:val="00772483"/>
    <w:rsid w:val="007747CA"/>
    <w:rsid w:val="00774919"/>
    <w:rsid w:val="0078164E"/>
    <w:rsid w:val="00783A12"/>
    <w:rsid w:val="007944F6"/>
    <w:rsid w:val="007959C3"/>
    <w:rsid w:val="007A0AC9"/>
    <w:rsid w:val="007A2650"/>
    <w:rsid w:val="007A2CC5"/>
    <w:rsid w:val="007A3404"/>
    <w:rsid w:val="007A5F5A"/>
    <w:rsid w:val="007A69D8"/>
    <w:rsid w:val="007A6B49"/>
    <w:rsid w:val="007A7999"/>
    <w:rsid w:val="007B2AC9"/>
    <w:rsid w:val="007B2CC7"/>
    <w:rsid w:val="007B58AB"/>
    <w:rsid w:val="007B76CE"/>
    <w:rsid w:val="007C104B"/>
    <w:rsid w:val="007C575B"/>
    <w:rsid w:val="007C7900"/>
    <w:rsid w:val="007D43A5"/>
    <w:rsid w:val="007D5D5C"/>
    <w:rsid w:val="007D6985"/>
    <w:rsid w:val="007D7E2B"/>
    <w:rsid w:val="007E0AD9"/>
    <w:rsid w:val="007E1D32"/>
    <w:rsid w:val="007E1E7D"/>
    <w:rsid w:val="007E5B0D"/>
    <w:rsid w:val="007F45F5"/>
    <w:rsid w:val="0080004F"/>
    <w:rsid w:val="008007A1"/>
    <w:rsid w:val="00801862"/>
    <w:rsid w:val="00804119"/>
    <w:rsid w:val="00804173"/>
    <w:rsid w:val="00810837"/>
    <w:rsid w:val="00813F92"/>
    <w:rsid w:val="008211A0"/>
    <w:rsid w:val="008238A0"/>
    <w:rsid w:val="00826FF3"/>
    <w:rsid w:val="00835C75"/>
    <w:rsid w:val="00835FDA"/>
    <w:rsid w:val="0084011C"/>
    <w:rsid w:val="00841588"/>
    <w:rsid w:val="008423E8"/>
    <w:rsid w:val="00842D03"/>
    <w:rsid w:val="00844BEC"/>
    <w:rsid w:val="00846E40"/>
    <w:rsid w:val="00851DBF"/>
    <w:rsid w:val="00851FB1"/>
    <w:rsid w:val="00854A0C"/>
    <w:rsid w:val="00854FFD"/>
    <w:rsid w:val="0085512F"/>
    <w:rsid w:val="00856251"/>
    <w:rsid w:val="00856965"/>
    <w:rsid w:val="008571FB"/>
    <w:rsid w:val="0085778C"/>
    <w:rsid w:val="00862B7A"/>
    <w:rsid w:val="008652B0"/>
    <w:rsid w:val="008655AF"/>
    <w:rsid w:val="00873DF7"/>
    <w:rsid w:val="00875C92"/>
    <w:rsid w:val="00884142"/>
    <w:rsid w:val="00885362"/>
    <w:rsid w:val="008877B3"/>
    <w:rsid w:val="00890879"/>
    <w:rsid w:val="00894C64"/>
    <w:rsid w:val="00896412"/>
    <w:rsid w:val="008A06FF"/>
    <w:rsid w:val="008A1591"/>
    <w:rsid w:val="008A1D6B"/>
    <w:rsid w:val="008A5E33"/>
    <w:rsid w:val="008A7D08"/>
    <w:rsid w:val="008B1798"/>
    <w:rsid w:val="008B358B"/>
    <w:rsid w:val="008C1517"/>
    <w:rsid w:val="008C2C9A"/>
    <w:rsid w:val="008D0E86"/>
    <w:rsid w:val="008D3FF4"/>
    <w:rsid w:val="008D41D6"/>
    <w:rsid w:val="008D4BEF"/>
    <w:rsid w:val="008E4789"/>
    <w:rsid w:val="008E6C39"/>
    <w:rsid w:val="008F3D6D"/>
    <w:rsid w:val="008F3FBB"/>
    <w:rsid w:val="008F75A3"/>
    <w:rsid w:val="00902908"/>
    <w:rsid w:val="00912671"/>
    <w:rsid w:val="009172A8"/>
    <w:rsid w:val="00920C71"/>
    <w:rsid w:val="009233DE"/>
    <w:rsid w:val="009233FD"/>
    <w:rsid w:val="00924199"/>
    <w:rsid w:val="0092618A"/>
    <w:rsid w:val="00926C6E"/>
    <w:rsid w:val="00926F87"/>
    <w:rsid w:val="00930E44"/>
    <w:rsid w:val="0093269C"/>
    <w:rsid w:val="00936502"/>
    <w:rsid w:val="00940A0A"/>
    <w:rsid w:val="0094246F"/>
    <w:rsid w:val="00945EA5"/>
    <w:rsid w:val="0095055E"/>
    <w:rsid w:val="00956186"/>
    <w:rsid w:val="009646A7"/>
    <w:rsid w:val="0096495C"/>
    <w:rsid w:val="0097090A"/>
    <w:rsid w:val="00971325"/>
    <w:rsid w:val="009733E9"/>
    <w:rsid w:val="00974B7B"/>
    <w:rsid w:val="00976282"/>
    <w:rsid w:val="0097660B"/>
    <w:rsid w:val="00976FAC"/>
    <w:rsid w:val="00977DBD"/>
    <w:rsid w:val="00977F8C"/>
    <w:rsid w:val="00982D6B"/>
    <w:rsid w:val="009868D1"/>
    <w:rsid w:val="00990BA6"/>
    <w:rsid w:val="0099520E"/>
    <w:rsid w:val="00995DED"/>
    <w:rsid w:val="00995ED8"/>
    <w:rsid w:val="00996E36"/>
    <w:rsid w:val="009A2B4A"/>
    <w:rsid w:val="009A4CAD"/>
    <w:rsid w:val="009B33AC"/>
    <w:rsid w:val="009B34E9"/>
    <w:rsid w:val="009B462A"/>
    <w:rsid w:val="009B69A9"/>
    <w:rsid w:val="009C29C9"/>
    <w:rsid w:val="009C3432"/>
    <w:rsid w:val="009C4D1E"/>
    <w:rsid w:val="009C6316"/>
    <w:rsid w:val="009D4905"/>
    <w:rsid w:val="009D6143"/>
    <w:rsid w:val="009E2840"/>
    <w:rsid w:val="009E37A9"/>
    <w:rsid w:val="009E53C5"/>
    <w:rsid w:val="009F41E6"/>
    <w:rsid w:val="009F43FC"/>
    <w:rsid w:val="00A00DBC"/>
    <w:rsid w:val="00A078DC"/>
    <w:rsid w:val="00A14F24"/>
    <w:rsid w:val="00A16738"/>
    <w:rsid w:val="00A2228A"/>
    <w:rsid w:val="00A27367"/>
    <w:rsid w:val="00A31CA4"/>
    <w:rsid w:val="00A322B5"/>
    <w:rsid w:val="00A32AF6"/>
    <w:rsid w:val="00A34307"/>
    <w:rsid w:val="00A37830"/>
    <w:rsid w:val="00A42902"/>
    <w:rsid w:val="00A431D6"/>
    <w:rsid w:val="00A539F6"/>
    <w:rsid w:val="00A57DD0"/>
    <w:rsid w:val="00A63CB4"/>
    <w:rsid w:val="00A6411A"/>
    <w:rsid w:val="00A65580"/>
    <w:rsid w:val="00A672C6"/>
    <w:rsid w:val="00A67541"/>
    <w:rsid w:val="00A7109F"/>
    <w:rsid w:val="00A72434"/>
    <w:rsid w:val="00A80BF4"/>
    <w:rsid w:val="00A82040"/>
    <w:rsid w:val="00AA7E6A"/>
    <w:rsid w:val="00AB2011"/>
    <w:rsid w:val="00AB39C9"/>
    <w:rsid w:val="00AB4DB2"/>
    <w:rsid w:val="00AB677B"/>
    <w:rsid w:val="00AB69A3"/>
    <w:rsid w:val="00AC1E89"/>
    <w:rsid w:val="00AC2387"/>
    <w:rsid w:val="00AC5D1B"/>
    <w:rsid w:val="00AD03DA"/>
    <w:rsid w:val="00AD0AFB"/>
    <w:rsid w:val="00AD3BB3"/>
    <w:rsid w:val="00AD5A38"/>
    <w:rsid w:val="00AE1ACB"/>
    <w:rsid w:val="00AE27DF"/>
    <w:rsid w:val="00AE5D82"/>
    <w:rsid w:val="00AE6050"/>
    <w:rsid w:val="00AF0624"/>
    <w:rsid w:val="00AF4E4B"/>
    <w:rsid w:val="00AF566F"/>
    <w:rsid w:val="00AF6450"/>
    <w:rsid w:val="00B00359"/>
    <w:rsid w:val="00B10CAC"/>
    <w:rsid w:val="00B12D25"/>
    <w:rsid w:val="00B1411C"/>
    <w:rsid w:val="00B14459"/>
    <w:rsid w:val="00B24739"/>
    <w:rsid w:val="00B26195"/>
    <w:rsid w:val="00B26E83"/>
    <w:rsid w:val="00B30651"/>
    <w:rsid w:val="00B31511"/>
    <w:rsid w:val="00B32054"/>
    <w:rsid w:val="00B33149"/>
    <w:rsid w:val="00B33677"/>
    <w:rsid w:val="00B40767"/>
    <w:rsid w:val="00B40D33"/>
    <w:rsid w:val="00B438DC"/>
    <w:rsid w:val="00B4707A"/>
    <w:rsid w:val="00B472B8"/>
    <w:rsid w:val="00B51FD5"/>
    <w:rsid w:val="00B5648F"/>
    <w:rsid w:val="00B57AD5"/>
    <w:rsid w:val="00B60164"/>
    <w:rsid w:val="00B61086"/>
    <w:rsid w:val="00B6161F"/>
    <w:rsid w:val="00B67512"/>
    <w:rsid w:val="00B70574"/>
    <w:rsid w:val="00B8114F"/>
    <w:rsid w:val="00B81480"/>
    <w:rsid w:val="00B81E38"/>
    <w:rsid w:val="00B835DD"/>
    <w:rsid w:val="00B83B3F"/>
    <w:rsid w:val="00B85EEE"/>
    <w:rsid w:val="00B917E8"/>
    <w:rsid w:val="00BA01C8"/>
    <w:rsid w:val="00BA41D8"/>
    <w:rsid w:val="00BA5FC3"/>
    <w:rsid w:val="00BB0B9E"/>
    <w:rsid w:val="00BB0EB5"/>
    <w:rsid w:val="00BB2404"/>
    <w:rsid w:val="00BB7D19"/>
    <w:rsid w:val="00BC2096"/>
    <w:rsid w:val="00BD3222"/>
    <w:rsid w:val="00BD5F6A"/>
    <w:rsid w:val="00BE2DF2"/>
    <w:rsid w:val="00BE4A95"/>
    <w:rsid w:val="00BE75E6"/>
    <w:rsid w:val="00BF4FD9"/>
    <w:rsid w:val="00BF5542"/>
    <w:rsid w:val="00C03048"/>
    <w:rsid w:val="00C036A3"/>
    <w:rsid w:val="00C05288"/>
    <w:rsid w:val="00C07862"/>
    <w:rsid w:val="00C10074"/>
    <w:rsid w:val="00C10C3E"/>
    <w:rsid w:val="00C11D4C"/>
    <w:rsid w:val="00C15094"/>
    <w:rsid w:val="00C16E53"/>
    <w:rsid w:val="00C172DA"/>
    <w:rsid w:val="00C228C9"/>
    <w:rsid w:val="00C23FE6"/>
    <w:rsid w:val="00C250EC"/>
    <w:rsid w:val="00C26DB6"/>
    <w:rsid w:val="00C319FE"/>
    <w:rsid w:val="00C3690B"/>
    <w:rsid w:val="00C37753"/>
    <w:rsid w:val="00C379A2"/>
    <w:rsid w:val="00C40404"/>
    <w:rsid w:val="00C4512A"/>
    <w:rsid w:val="00C46654"/>
    <w:rsid w:val="00C46C2F"/>
    <w:rsid w:val="00C54C84"/>
    <w:rsid w:val="00C56163"/>
    <w:rsid w:val="00C56305"/>
    <w:rsid w:val="00C60327"/>
    <w:rsid w:val="00C70D2F"/>
    <w:rsid w:val="00C749F3"/>
    <w:rsid w:val="00C76356"/>
    <w:rsid w:val="00C811A9"/>
    <w:rsid w:val="00C843A7"/>
    <w:rsid w:val="00C8732B"/>
    <w:rsid w:val="00C9076C"/>
    <w:rsid w:val="00C95FA8"/>
    <w:rsid w:val="00CA0C70"/>
    <w:rsid w:val="00CA2FC8"/>
    <w:rsid w:val="00CA3175"/>
    <w:rsid w:val="00CA5399"/>
    <w:rsid w:val="00CB68A6"/>
    <w:rsid w:val="00CC15C8"/>
    <w:rsid w:val="00CC4033"/>
    <w:rsid w:val="00CC5B28"/>
    <w:rsid w:val="00CD0FDC"/>
    <w:rsid w:val="00CD3A9F"/>
    <w:rsid w:val="00CD3B02"/>
    <w:rsid w:val="00CE1FAB"/>
    <w:rsid w:val="00CE50D9"/>
    <w:rsid w:val="00D02625"/>
    <w:rsid w:val="00D0707A"/>
    <w:rsid w:val="00D13A4F"/>
    <w:rsid w:val="00D141D4"/>
    <w:rsid w:val="00D15B47"/>
    <w:rsid w:val="00D162AA"/>
    <w:rsid w:val="00D24C83"/>
    <w:rsid w:val="00D37E45"/>
    <w:rsid w:val="00D4247B"/>
    <w:rsid w:val="00D45C71"/>
    <w:rsid w:val="00D46049"/>
    <w:rsid w:val="00D463DF"/>
    <w:rsid w:val="00D51610"/>
    <w:rsid w:val="00D54AFC"/>
    <w:rsid w:val="00D54BC7"/>
    <w:rsid w:val="00D6397D"/>
    <w:rsid w:val="00D64B92"/>
    <w:rsid w:val="00D662EF"/>
    <w:rsid w:val="00D71C1F"/>
    <w:rsid w:val="00D7268A"/>
    <w:rsid w:val="00D73D31"/>
    <w:rsid w:val="00D77355"/>
    <w:rsid w:val="00D777D1"/>
    <w:rsid w:val="00D9412A"/>
    <w:rsid w:val="00D943A6"/>
    <w:rsid w:val="00D95A65"/>
    <w:rsid w:val="00D95CBE"/>
    <w:rsid w:val="00D96359"/>
    <w:rsid w:val="00DA3EF9"/>
    <w:rsid w:val="00DA4E23"/>
    <w:rsid w:val="00DA502F"/>
    <w:rsid w:val="00DA78AF"/>
    <w:rsid w:val="00DB025D"/>
    <w:rsid w:val="00DB0465"/>
    <w:rsid w:val="00DB0FCD"/>
    <w:rsid w:val="00DB259B"/>
    <w:rsid w:val="00DB4BBA"/>
    <w:rsid w:val="00DC1E43"/>
    <w:rsid w:val="00DC3584"/>
    <w:rsid w:val="00DC6959"/>
    <w:rsid w:val="00DD0E32"/>
    <w:rsid w:val="00DD1AC5"/>
    <w:rsid w:val="00DD3EB8"/>
    <w:rsid w:val="00DE1EB1"/>
    <w:rsid w:val="00DE3C4C"/>
    <w:rsid w:val="00DE47AD"/>
    <w:rsid w:val="00DE5939"/>
    <w:rsid w:val="00DF3D31"/>
    <w:rsid w:val="00DF6795"/>
    <w:rsid w:val="00DF78F7"/>
    <w:rsid w:val="00E0134E"/>
    <w:rsid w:val="00E04BE7"/>
    <w:rsid w:val="00E0583A"/>
    <w:rsid w:val="00E1423A"/>
    <w:rsid w:val="00E22946"/>
    <w:rsid w:val="00E26505"/>
    <w:rsid w:val="00E3539E"/>
    <w:rsid w:val="00E42A6F"/>
    <w:rsid w:val="00E47392"/>
    <w:rsid w:val="00E47F84"/>
    <w:rsid w:val="00E52E71"/>
    <w:rsid w:val="00E536E0"/>
    <w:rsid w:val="00E53F35"/>
    <w:rsid w:val="00E5589C"/>
    <w:rsid w:val="00E60182"/>
    <w:rsid w:val="00E61039"/>
    <w:rsid w:val="00E66B00"/>
    <w:rsid w:val="00E728F7"/>
    <w:rsid w:val="00E745C9"/>
    <w:rsid w:val="00E821C9"/>
    <w:rsid w:val="00E83925"/>
    <w:rsid w:val="00E842C4"/>
    <w:rsid w:val="00E84542"/>
    <w:rsid w:val="00E864B5"/>
    <w:rsid w:val="00E87CB7"/>
    <w:rsid w:val="00E90BC9"/>
    <w:rsid w:val="00EA1A06"/>
    <w:rsid w:val="00EA5AEF"/>
    <w:rsid w:val="00EB2156"/>
    <w:rsid w:val="00EC1504"/>
    <w:rsid w:val="00EC4922"/>
    <w:rsid w:val="00EC4E41"/>
    <w:rsid w:val="00EC77AA"/>
    <w:rsid w:val="00ED04B0"/>
    <w:rsid w:val="00ED5A73"/>
    <w:rsid w:val="00EE003D"/>
    <w:rsid w:val="00EE178E"/>
    <w:rsid w:val="00EE47A4"/>
    <w:rsid w:val="00EE6EF9"/>
    <w:rsid w:val="00EF20F1"/>
    <w:rsid w:val="00EF483D"/>
    <w:rsid w:val="00F014B8"/>
    <w:rsid w:val="00F026C1"/>
    <w:rsid w:val="00F04874"/>
    <w:rsid w:val="00F114C0"/>
    <w:rsid w:val="00F23677"/>
    <w:rsid w:val="00F26257"/>
    <w:rsid w:val="00F26CE5"/>
    <w:rsid w:val="00F271E4"/>
    <w:rsid w:val="00F34B29"/>
    <w:rsid w:val="00F37D8B"/>
    <w:rsid w:val="00F42299"/>
    <w:rsid w:val="00F4392E"/>
    <w:rsid w:val="00F442F2"/>
    <w:rsid w:val="00F47D06"/>
    <w:rsid w:val="00F52B19"/>
    <w:rsid w:val="00F5630B"/>
    <w:rsid w:val="00F637C2"/>
    <w:rsid w:val="00F70927"/>
    <w:rsid w:val="00F70FAD"/>
    <w:rsid w:val="00F74F14"/>
    <w:rsid w:val="00F75B5E"/>
    <w:rsid w:val="00F81F3C"/>
    <w:rsid w:val="00F859D2"/>
    <w:rsid w:val="00F86BEC"/>
    <w:rsid w:val="00F872CF"/>
    <w:rsid w:val="00F90758"/>
    <w:rsid w:val="00F9507A"/>
    <w:rsid w:val="00F977F5"/>
    <w:rsid w:val="00FA45A3"/>
    <w:rsid w:val="00FA45E6"/>
    <w:rsid w:val="00FA5A83"/>
    <w:rsid w:val="00FA5C19"/>
    <w:rsid w:val="00FA5D12"/>
    <w:rsid w:val="00FA6891"/>
    <w:rsid w:val="00FB29E9"/>
    <w:rsid w:val="00FB630D"/>
    <w:rsid w:val="00FB7682"/>
    <w:rsid w:val="00FB7CC3"/>
    <w:rsid w:val="00FC171F"/>
    <w:rsid w:val="00FD5523"/>
    <w:rsid w:val="00FD6DA6"/>
    <w:rsid w:val="00FE3E08"/>
    <w:rsid w:val="00FE476F"/>
    <w:rsid w:val="00FE6B5A"/>
    <w:rsid w:val="00FF217D"/>
    <w:rsid w:val="00FF78B4"/>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2305"/>
  <w15:chartTrackingRefBased/>
  <w15:docId w15:val="{7F1FC5E0-9875-4A0C-8FEC-620F2091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D31"/>
  </w:style>
  <w:style w:type="paragraph" w:styleId="Heading1">
    <w:name w:val="heading 1"/>
    <w:basedOn w:val="Normal"/>
    <w:link w:val="Heading1Char"/>
    <w:uiPriority w:val="9"/>
    <w:qFormat/>
    <w:rsid w:val="005C31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F84"/>
    <w:pPr>
      <w:ind w:left="720"/>
      <w:contextualSpacing/>
    </w:pPr>
  </w:style>
  <w:style w:type="paragraph" w:styleId="NormalWeb">
    <w:name w:val="Normal (Web)"/>
    <w:basedOn w:val="Normal"/>
    <w:uiPriority w:val="99"/>
    <w:unhideWhenUsed/>
    <w:rsid w:val="00235463"/>
    <w:pPr>
      <w:spacing w:before="100" w:beforeAutospacing="1" w:after="100" w:afterAutospacing="1" w:line="240" w:lineRule="auto"/>
    </w:pPr>
    <w:rPr>
      <w:rFonts w:ascii="Calibri" w:hAnsi="Calibri" w:cs="Calibri"/>
      <w:sz w:val="22"/>
      <w:szCs w:val="22"/>
    </w:rPr>
  </w:style>
  <w:style w:type="character" w:customStyle="1" w:styleId="Heading1Char">
    <w:name w:val="Heading 1 Char"/>
    <w:basedOn w:val="DefaultParagraphFont"/>
    <w:link w:val="Heading1"/>
    <w:uiPriority w:val="9"/>
    <w:rsid w:val="005C315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C3150"/>
    <w:rPr>
      <w:color w:val="0000FF"/>
      <w:u w:val="single"/>
    </w:rPr>
  </w:style>
  <w:style w:type="character" w:customStyle="1" w:styleId="citation">
    <w:name w:val="citation"/>
    <w:basedOn w:val="DefaultParagraphFont"/>
    <w:rsid w:val="005C3150"/>
  </w:style>
  <w:style w:type="character" w:customStyle="1" w:styleId="articletitle">
    <w:name w:val="articletitle"/>
    <w:basedOn w:val="DefaultParagraphFont"/>
    <w:rsid w:val="005C3150"/>
  </w:style>
  <w:style w:type="character" w:customStyle="1" w:styleId="name">
    <w:name w:val="name"/>
    <w:basedOn w:val="DefaultParagraphFont"/>
    <w:rsid w:val="005C3150"/>
  </w:style>
  <w:style w:type="character" w:customStyle="1" w:styleId="pubyear">
    <w:name w:val="pubyear"/>
    <w:basedOn w:val="DefaultParagraphFont"/>
    <w:rsid w:val="005C3150"/>
  </w:style>
  <w:style w:type="character" w:customStyle="1" w:styleId="pubinfo">
    <w:name w:val="pubinfo"/>
    <w:basedOn w:val="DefaultParagraphFont"/>
    <w:rsid w:val="005C3150"/>
  </w:style>
  <w:style w:type="character" w:styleId="Emphasis">
    <w:name w:val="Emphasis"/>
    <w:basedOn w:val="DefaultParagraphFont"/>
    <w:uiPriority w:val="20"/>
    <w:qFormat/>
    <w:rsid w:val="005C3150"/>
    <w:rPr>
      <w:i/>
      <w:iCs/>
    </w:rPr>
  </w:style>
  <w:style w:type="character" w:customStyle="1" w:styleId="hi">
    <w:name w:val="hi"/>
    <w:basedOn w:val="DefaultParagraphFont"/>
    <w:rsid w:val="005C3150"/>
  </w:style>
  <w:style w:type="paragraph" w:styleId="Header">
    <w:name w:val="header"/>
    <w:basedOn w:val="Normal"/>
    <w:link w:val="HeaderChar"/>
    <w:uiPriority w:val="99"/>
    <w:unhideWhenUsed/>
    <w:rsid w:val="00710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152"/>
  </w:style>
  <w:style w:type="paragraph" w:styleId="Footer">
    <w:name w:val="footer"/>
    <w:basedOn w:val="Normal"/>
    <w:link w:val="FooterChar"/>
    <w:uiPriority w:val="99"/>
    <w:unhideWhenUsed/>
    <w:rsid w:val="00710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152"/>
  </w:style>
  <w:style w:type="character" w:customStyle="1" w:styleId="hwlinktext">
    <w:name w:val="hwlinktext"/>
    <w:basedOn w:val="DefaultParagraphFont"/>
    <w:rsid w:val="007561E1"/>
  </w:style>
  <w:style w:type="character" w:styleId="UnresolvedMention">
    <w:name w:val="Unresolved Mention"/>
    <w:basedOn w:val="DefaultParagraphFont"/>
    <w:uiPriority w:val="99"/>
    <w:semiHidden/>
    <w:unhideWhenUsed/>
    <w:rsid w:val="007561E1"/>
    <w:rPr>
      <w:color w:val="605E5C"/>
      <w:shd w:val="clear" w:color="auto" w:fill="E1DFDD"/>
    </w:rPr>
  </w:style>
  <w:style w:type="paragraph" w:styleId="FootnoteText">
    <w:name w:val="footnote text"/>
    <w:basedOn w:val="Normal"/>
    <w:link w:val="FootnoteTextChar"/>
    <w:uiPriority w:val="99"/>
    <w:unhideWhenUsed/>
    <w:rsid w:val="00D96359"/>
    <w:pPr>
      <w:spacing w:after="0" w:line="240" w:lineRule="auto"/>
    </w:pPr>
    <w:rPr>
      <w:sz w:val="20"/>
      <w:szCs w:val="20"/>
    </w:rPr>
  </w:style>
  <w:style w:type="character" w:customStyle="1" w:styleId="FootnoteTextChar">
    <w:name w:val="Footnote Text Char"/>
    <w:basedOn w:val="DefaultParagraphFont"/>
    <w:link w:val="FootnoteText"/>
    <w:uiPriority w:val="99"/>
    <w:rsid w:val="00D96359"/>
    <w:rPr>
      <w:sz w:val="20"/>
      <w:szCs w:val="20"/>
    </w:rPr>
  </w:style>
  <w:style w:type="character" w:styleId="FootnoteReference">
    <w:name w:val="footnote reference"/>
    <w:basedOn w:val="DefaultParagraphFont"/>
    <w:uiPriority w:val="99"/>
    <w:semiHidden/>
    <w:unhideWhenUsed/>
    <w:rsid w:val="00D96359"/>
    <w:rPr>
      <w:vertAlign w:val="superscript"/>
    </w:rPr>
  </w:style>
  <w:style w:type="character" w:customStyle="1" w:styleId="st">
    <w:name w:val="st"/>
    <w:basedOn w:val="DefaultParagraphFont"/>
    <w:rsid w:val="00940A0A"/>
  </w:style>
  <w:style w:type="paragraph" w:styleId="BalloonText">
    <w:name w:val="Balloon Text"/>
    <w:basedOn w:val="Normal"/>
    <w:link w:val="BalloonTextChar"/>
    <w:uiPriority w:val="99"/>
    <w:semiHidden/>
    <w:unhideWhenUsed/>
    <w:rsid w:val="00FD6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08577">
      <w:bodyDiv w:val="1"/>
      <w:marLeft w:val="0"/>
      <w:marRight w:val="0"/>
      <w:marTop w:val="0"/>
      <w:marBottom w:val="0"/>
      <w:divBdr>
        <w:top w:val="none" w:sz="0" w:space="0" w:color="auto"/>
        <w:left w:val="none" w:sz="0" w:space="0" w:color="auto"/>
        <w:bottom w:val="none" w:sz="0" w:space="0" w:color="auto"/>
        <w:right w:val="none" w:sz="0" w:space="0" w:color="auto"/>
      </w:divBdr>
    </w:div>
    <w:div w:id="1050963363">
      <w:bodyDiv w:val="1"/>
      <w:marLeft w:val="0"/>
      <w:marRight w:val="0"/>
      <w:marTop w:val="0"/>
      <w:marBottom w:val="0"/>
      <w:divBdr>
        <w:top w:val="none" w:sz="0" w:space="0" w:color="auto"/>
        <w:left w:val="none" w:sz="0" w:space="0" w:color="auto"/>
        <w:bottom w:val="none" w:sz="0" w:space="0" w:color="auto"/>
        <w:right w:val="none" w:sz="0" w:space="0" w:color="auto"/>
      </w:divBdr>
      <w:divsChild>
        <w:div w:id="1376202727">
          <w:marLeft w:val="0"/>
          <w:marRight w:val="0"/>
          <w:marTop w:val="0"/>
          <w:marBottom w:val="0"/>
          <w:divBdr>
            <w:top w:val="none" w:sz="0" w:space="0" w:color="auto"/>
            <w:left w:val="none" w:sz="0" w:space="0" w:color="auto"/>
            <w:bottom w:val="none" w:sz="0" w:space="0" w:color="auto"/>
            <w:right w:val="none" w:sz="0" w:space="0" w:color="auto"/>
          </w:divBdr>
        </w:div>
      </w:divsChild>
    </w:div>
    <w:div w:id="1103064149">
      <w:bodyDiv w:val="1"/>
      <w:marLeft w:val="0"/>
      <w:marRight w:val="0"/>
      <w:marTop w:val="0"/>
      <w:marBottom w:val="0"/>
      <w:divBdr>
        <w:top w:val="none" w:sz="0" w:space="0" w:color="auto"/>
        <w:left w:val="none" w:sz="0" w:space="0" w:color="auto"/>
        <w:bottom w:val="none" w:sz="0" w:space="0" w:color="auto"/>
        <w:right w:val="none" w:sz="0" w:space="0" w:color="auto"/>
      </w:divBdr>
      <w:divsChild>
        <w:div w:id="1271090757">
          <w:marLeft w:val="0"/>
          <w:marRight w:val="0"/>
          <w:marTop w:val="0"/>
          <w:marBottom w:val="0"/>
          <w:divBdr>
            <w:top w:val="none" w:sz="0" w:space="0" w:color="auto"/>
            <w:left w:val="none" w:sz="0" w:space="0" w:color="auto"/>
            <w:bottom w:val="none" w:sz="0" w:space="0" w:color="auto"/>
            <w:right w:val="none" w:sz="0" w:space="0" w:color="auto"/>
          </w:divBdr>
          <w:divsChild>
            <w:div w:id="1161579901">
              <w:marLeft w:val="0"/>
              <w:marRight w:val="0"/>
              <w:marTop w:val="0"/>
              <w:marBottom w:val="0"/>
              <w:divBdr>
                <w:top w:val="none" w:sz="0" w:space="0" w:color="auto"/>
                <w:left w:val="none" w:sz="0" w:space="0" w:color="auto"/>
                <w:bottom w:val="none" w:sz="0" w:space="0" w:color="auto"/>
                <w:right w:val="none" w:sz="0" w:space="0" w:color="auto"/>
              </w:divBdr>
              <w:divsChild>
                <w:div w:id="290523228">
                  <w:marLeft w:val="0"/>
                  <w:marRight w:val="0"/>
                  <w:marTop w:val="0"/>
                  <w:marBottom w:val="0"/>
                  <w:divBdr>
                    <w:top w:val="none" w:sz="0" w:space="0" w:color="auto"/>
                    <w:left w:val="none" w:sz="0" w:space="0" w:color="auto"/>
                    <w:bottom w:val="none" w:sz="0" w:space="0" w:color="auto"/>
                    <w:right w:val="none" w:sz="0" w:space="0" w:color="auto"/>
                  </w:divBdr>
                </w:div>
              </w:divsChild>
            </w:div>
            <w:div w:id="12143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0773">
      <w:bodyDiv w:val="1"/>
      <w:marLeft w:val="0"/>
      <w:marRight w:val="0"/>
      <w:marTop w:val="0"/>
      <w:marBottom w:val="0"/>
      <w:divBdr>
        <w:top w:val="none" w:sz="0" w:space="0" w:color="auto"/>
        <w:left w:val="none" w:sz="0" w:space="0" w:color="auto"/>
        <w:bottom w:val="none" w:sz="0" w:space="0" w:color="auto"/>
        <w:right w:val="none" w:sz="0" w:space="0" w:color="auto"/>
      </w:divBdr>
    </w:div>
    <w:div w:id="1692685205">
      <w:bodyDiv w:val="1"/>
      <w:marLeft w:val="0"/>
      <w:marRight w:val="0"/>
      <w:marTop w:val="0"/>
      <w:marBottom w:val="0"/>
      <w:divBdr>
        <w:top w:val="none" w:sz="0" w:space="0" w:color="auto"/>
        <w:left w:val="none" w:sz="0" w:space="0" w:color="auto"/>
        <w:bottom w:val="none" w:sz="0" w:space="0" w:color="auto"/>
        <w:right w:val="none" w:sz="0" w:space="0" w:color="auto"/>
      </w:divBdr>
      <w:divsChild>
        <w:div w:id="144124777">
          <w:marLeft w:val="0"/>
          <w:marRight w:val="0"/>
          <w:marTop w:val="0"/>
          <w:marBottom w:val="0"/>
          <w:divBdr>
            <w:top w:val="none" w:sz="0" w:space="0" w:color="auto"/>
            <w:left w:val="none" w:sz="0" w:space="0" w:color="auto"/>
            <w:bottom w:val="none" w:sz="0" w:space="0" w:color="auto"/>
            <w:right w:val="none" w:sz="0" w:space="0" w:color="auto"/>
          </w:divBdr>
          <w:divsChild>
            <w:div w:id="649676478">
              <w:marLeft w:val="0"/>
              <w:marRight w:val="0"/>
              <w:marTop w:val="0"/>
              <w:marBottom w:val="0"/>
              <w:divBdr>
                <w:top w:val="none" w:sz="0" w:space="0" w:color="auto"/>
                <w:left w:val="none" w:sz="0" w:space="0" w:color="auto"/>
                <w:bottom w:val="none" w:sz="0" w:space="0" w:color="auto"/>
                <w:right w:val="none" w:sz="0" w:space="0" w:color="auto"/>
              </w:divBdr>
            </w:div>
            <w:div w:id="782648285">
              <w:marLeft w:val="0"/>
              <w:marRight w:val="0"/>
              <w:marTop w:val="0"/>
              <w:marBottom w:val="0"/>
              <w:divBdr>
                <w:top w:val="none" w:sz="0" w:space="0" w:color="auto"/>
                <w:left w:val="none" w:sz="0" w:space="0" w:color="auto"/>
                <w:bottom w:val="none" w:sz="0" w:space="0" w:color="auto"/>
                <w:right w:val="none" w:sz="0" w:space="0" w:color="auto"/>
              </w:divBdr>
              <w:divsChild>
                <w:div w:id="2788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27344">
      <w:bodyDiv w:val="1"/>
      <w:marLeft w:val="0"/>
      <w:marRight w:val="0"/>
      <w:marTop w:val="0"/>
      <w:marBottom w:val="0"/>
      <w:divBdr>
        <w:top w:val="none" w:sz="0" w:space="0" w:color="auto"/>
        <w:left w:val="none" w:sz="0" w:space="0" w:color="auto"/>
        <w:bottom w:val="none" w:sz="0" w:space="0" w:color="auto"/>
        <w:right w:val="none" w:sz="0" w:space="0" w:color="auto"/>
      </w:divBdr>
    </w:div>
    <w:div w:id="1967614093">
      <w:bodyDiv w:val="1"/>
      <w:marLeft w:val="0"/>
      <w:marRight w:val="0"/>
      <w:marTop w:val="0"/>
      <w:marBottom w:val="0"/>
      <w:divBdr>
        <w:top w:val="none" w:sz="0" w:space="0" w:color="auto"/>
        <w:left w:val="none" w:sz="0" w:space="0" w:color="auto"/>
        <w:bottom w:val="none" w:sz="0" w:space="0" w:color="auto"/>
        <w:right w:val="none" w:sz="0" w:space="0" w:color="auto"/>
      </w:divBdr>
      <w:divsChild>
        <w:div w:id="21686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whc.org/abortion/mtxinfo.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E3CB9-6894-406A-BABA-67DBBCCF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6980</Words>
  <Characters>39791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Hershenov, David</dc:creator>
  <cp:keywords/>
  <dc:description/>
  <cp:lastModifiedBy>David Hershenov</cp:lastModifiedBy>
  <cp:revision>2</cp:revision>
  <cp:lastPrinted>2021-04-16T21:21:00Z</cp:lastPrinted>
  <dcterms:created xsi:type="dcterms:W3CDTF">2021-06-28T21:08:00Z</dcterms:created>
  <dcterms:modified xsi:type="dcterms:W3CDTF">2021-06-28T21:08:00Z</dcterms:modified>
</cp:coreProperties>
</file>